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56" w:rsidRDefault="00FE4F56">
      <w:pPr>
        <w:pStyle w:val="ConsPlusTitlePage"/>
      </w:pPr>
      <w:r>
        <w:br/>
      </w:r>
    </w:p>
    <w:p w:rsidR="00FE4F56" w:rsidRDefault="00FE4F56">
      <w:pPr>
        <w:pStyle w:val="ConsPlusNormal"/>
        <w:jc w:val="both"/>
        <w:outlineLvl w:val="0"/>
      </w:pPr>
    </w:p>
    <w:p w:rsidR="00FE4F56" w:rsidRDefault="00FE4F56">
      <w:pPr>
        <w:pStyle w:val="ConsPlusTitle"/>
        <w:jc w:val="center"/>
        <w:outlineLvl w:val="0"/>
      </w:pPr>
      <w:r>
        <w:t>АДМИНИСТРАЦИЯ ГОРОДА ВЛАДИМИРА</w:t>
      </w:r>
    </w:p>
    <w:p w:rsidR="00FE4F56" w:rsidRDefault="00FE4F56">
      <w:pPr>
        <w:pStyle w:val="ConsPlusTitle"/>
        <w:jc w:val="both"/>
      </w:pPr>
    </w:p>
    <w:p w:rsidR="00FE4F56" w:rsidRDefault="00FE4F56">
      <w:pPr>
        <w:pStyle w:val="ConsPlusTitle"/>
        <w:jc w:val="center"/>
      </w:pPr>
      <w:r>
        <w:t>ПОСТАНОВЛЕНИЕ</w:t>
      </w:r>
    </w:p>
    <w:p w:rsidR="00FE4F56" w:rsidRDefault="00FE4F56">
      <w:pPr>
        <w:pStyle w:val="ConsPlusTitle"/>
        <w:jc w:val="center"/>
      </w:pPr>
      <w:r>
        <w:t>от 22 января 2021 г. N 117</w:t>
      </w:r>
    </w:p>
    <w:p w:rsidR="00FE4F56" w:rsidRDefault="00FE4F56">
      <w:pPr>
        <w:pStyle w:val="ConsPlusTitle"/>
        <w:jc w:val="both"/>
      </w:pPr>
    </w:p>
    <w:p w:rsidR="00FE4F56" w:rsidRDefault="00FE4F56">
      <w:pPr>
        <w:pStyle w:val="ConsPlusTitle"/>
        <w:jc w:val="center"/>
      </w:pPr>
      <w:r>
        <w:t>ОБ УТВЕРЖДЕНИИ МУНИЦИПАЛЬНОЙ ПРОГРАММЫ "РАЗВИТИЕ</w:t>
      </w:r>
    </w:p>
    <w:p w:rsidR="00FE4F56" w:rsidRDefault="00FE4F56">
      <w:pPr>
        <w:pStyle w:val="ConsPlusTitle"/>
        <w:jc w:val="center"/>
      </w:pPr>
      <w:r>
        <w:t>МУНИЦИПАЛЬНЫХ УЧРЕЖДЕНИЙ ДОПОЛНИТЕЛЬНОГО ОБРАЗОВАНИЯ В СФЕРЕ</w:t>
      </w:r>
    </w:p>
    <w:p w:rsidR="00FE4F56" w:rsidRDefault="00FE4F56">
      <w:pPr>
        <w:pStyle w:val="ConsPlusTitle"/>
        <w:jc w:val="center"/>
      </w:pPr>
      <w:r>
        <w:t xml:space="preserve">КУЛЬТУРЫ ГОРОДА ВЛАДИМИРА" И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FE4F56" w:rsidRDefault="00FE4F56">
      <w:pPr>
        <w:pStyle w:val="ConsPlusTitle"/>
        <w:jc w:val="center"/>
      </w:pPr>
      <w:r>
        <w:t>НЕКОТОРЫХ ПОСТАНОВЛЕНИЙ АДМИНИСТРАЦИИ ГОРОДА ВЛАДИМИРА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ст. 179.3</w:t>
        </w:r>
      </w:hyperlink>
      <w:r>
        <w:t xml:space="preserve"> Бюджетного кодекса Российской Федерации постановляю: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67">
        <w:r>
          <w:rPr>
            <w:color w:val="0000FF"/>
          </w:rPr>
          <w:t>программу</w:t>
        </w:r>
      </w:hyperlink>
      <w:r>
        <w:t>"Развитие муниципальных учреждений дополнительного образования в сфере культуры города Владимира" согласно приложению.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администрации города Владимира: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16.10.2015 </w:t>
      </w:r>
      <w:hyperlink r:id="rId5">
        <w:r>
          <w:rPr>
            <w:color w:val="0000FF"/>
          </w:rPr>
          <w:t>N 3680</w:t>
        </w:r>
      </w:hyperlink>
      <w:r>
        <w:t xml:space="preserve">"Об утверждении муниципальной программы "Развитие муниципальных образовательных учреждений дополнительного образования детей в сфере культуры города Владимира"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администрации города Владимира";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24.12.2015 </w:t>
      </w:r>
      <w:hyperlink r:id="rId6">
        <w:r>
          <w:rPr>
            <w:color w:val="0000FF"/>
          </w:rPr>
          <w:t>N 4714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24.02.2016 </w:t>
      </w:r>
      <w:hyperlink r:id="rId7">
        <w:r>
          <w:rPr>
            <w:color w:val="0000FF"/>
          </w:rPr>
          <w:t>N 427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06.12.2016 </w:t>
      </w:r>
      <w:hyperlink r:id="rId8">
        <w:r>
          <w:rPr>
            <w:color w:val="0000FF"/>
          </w:rPr>
          <w:t>N 3861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22.03.2017 </w:t>
      </w:r>
      <w:hyperlink r:id="rId9">
        <w:r>
          <w:rPr>
            <w:color w:val="0000FF"/>
          </w:rPr>
          <w:t>N 821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05.06.2017 </w:t>
      </w:r>
      <w:hyperlink r:id="rId10">
        <w:r>
          <w:rPr>
            <w:color w:val="0000FF"/>
          </w:rPr>
          <w:t>N 1907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15.09.2017 </w:t>
      </w:r>
      <w:hyperlink r:id="rId11">
        <w:r>
          <w:rPr>
            <w:color w:val="0000FF"/>
          </w:rPr>
          <w:t>N 3162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18.10.2017 </w:t>
      </w:r>
      <w:hyperlink r:id="rId12">
        <w:r>
          <w:rPr>
            <w:color w:val="0000FF"/>
          </w:rPr>
          <w:t>N 3449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28.12.2017 </w:t>
      </w:r>
      <w:hyperlink r:id="rId13">
        <w:r>
          <w:rPr>
            <w:color w:val="0000FF"/>
          </w:rPr>
          <w:t>N 4372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16.01.2018 </w:t>
      </w:r>
      <w:hyperlink r:id="rId14">
        <w:r>
          <w:rPr>
            <w:color w:val="0000FF"/>
          </w:rPr>
          <w:t>N 34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20.03.2018 </w:t>
      </w:r>
      <w:hyperlink r:id="rId15">
        <w:r>
          <w:rPr>
            <w:color w:val="0000FF"/>
          </w:rPr>
          <w:t>N 554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lastRenderedPageBreak/>
        <w:t xml:space="preserve">- от 18.04.2018 </w:t>
      </w:r>
      <w:hyperlink r:id="rId16">
        <w:r>
          <w:rPr>
            <w:color w:val="0000FF"/>
          </w:rPr>
          <w:t>N 820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25.10.2018 </w:t>
      </w:r>
      <w:hyperlink r:id="rId17">
        <w:r>
          <w:rPr>
            <w:color w:val="0000FF"/>
          </w:rPr>
          <w:t>N 2621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10.12.2018 </w:t>
      </w:r>
      <w:hyperlink r:id="rId18">
        <w:r>
          <w:rPr>
            <w:color w:val="0000FF"/>
          </w:rPr>
          <w:t>N 3098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30.01.2019 </w:t>
      </w:r>
      <w:hyperlink r:id="rId19">
        <w:r>
          <w:rPr>
            <w:color w:val="0000FF"/>
          </w:rPr>
          <w:t>N 167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19.03.2019 </w:t>
      </w:r>
      <w:hyperlink r:id="rId20">
        <w:r>
          <w:rPr>
            <w:color w:val="0000FF"/>
          </w:rPr>
          <w:t>N 701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18.09.2019 </w:t>
      </w:r>
      <w:hyperlink r:id="rId21">
        <w:r>
          <w:rPr>
            <w:color w:val="0000FF"/>
          </w:rPr>
          <w:t>N 2465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24.10.2019 </w:t>
      </w:r>
      <w:hyperlink r:id="rId22">
        <w:r>
          <w:rPr>
            <w:color w:val="0000FF"/>
          </w:rPr>
          <w:t>N 2806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28.11.2019 </w:t>
      </w:r>
      <w:hyperlink r:id="rId23">
        <w:r>
          <w:rPr>
            <w:color w:val="0000FF"/>
          </w:rPr>
          <w:t>N 3201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19.12.2019 </w:t>
      </w:r>
      <w:hyperlink r:id="rId24">
        <w:r>
          <w:rPr>
            <w:color w:val="0000FF"/>
          </w:rPr>
          <w:t>N 3464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25.12.2019 </w:t>
      </w:r>
      <w:hyperlink r:id="rId25">
        <w:r>
          <w:rPr>
            <w:color w:val="0000FF"/>
          </w:rPr>
          <w:t>N 3571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28.02.2020 </w:t>
      </w:r>
      <w:hyperlink r:id="rId26">
        <w:r>
          <w:rPr>
            <w:color w:val="0000FF"/>
          </w:rPr>
          <w:t>N 391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26.10.2020 </w:t>
      </w:r>
      <w:hyperlink r:id="rId27">
        <w:r>
          <w:rPr>
            <w:color w:val="0000FF"/>
          </w:rPr>
          <w:t>N 263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18.11.2020 </w:t>
      </w:r>
      <w:hyperlink r:id="rId28">
        <w:r>
          <w:rPr>
            <w:color w:val="0000FF"/>
          </w:rPr>
          <w:t>N 488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15.12.2020 </w:t>
      </w:r>
      <w:hyperlink r:id="rId29">
        <w:r>
          <w:rPr>
            <w:color w:val="0000FF"/>
          </w:rPr>
          <w:t>N 777</w:t>
        </w:r>
      </w:hyperlink>
      <w:r>
        <w:t>"О внесении изменений в постановление администрации города Владимира от 16.10.2015 N 3680";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от 24.12.2020 </w:t>
      </w:r>
      <w:hyperlink r:id="rId30">
        <w:r>
          <w:rPr>
            <w:color w:val="0000FF"/>
          </w:rPr>
          <w:t>N 890</w:t>
        </w:r>
      </w:hyperlink>
      <w:r>
        <w:t>"О внесении изменений в постановление администрации города Владимира от 16.10.2015 N 3680".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3. Опубликовать данное постановление на официальном сайте органов местного самоуправления города Владимира.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4. Действие настоящего постановления распространяется на правоотношения, возникшие с 01.01.2021.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</w:t>
      </w:r>
      <w:proofErr w:type="spellStart"/>
      <w:r>
        <w:t>Запруднову</w:t>
      </w:r>
      <w:proofErr w:type="spellEnd"/>
      <w:r>
        <w:t xml:space="preserve"> Е.В.</w:t>
      </w:r>
    </w:p>
    <w:p w:rsidR="00FE4F56" w:rsidRDefault="00FE4F56">
      <w:pPr>
        <w:pStyle w:val="ConsPlusNormal"/>
        <w:jc w:val="both"/>
      </w:pPr>
      <w:r>
        <w:t xml:space="preserve">(п. 5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Владимира от 27.02.2023 N 910)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right"/>
      </w:pPr>
      <w:r>
        <w:t>И.о. главы города</w:t>
      </w:r>
    </w:p>
    <w:p w:rsidR="00FE4F56" w:rsidRDefault="00FE4F56" w:rsidP="00FE4F56">
      <w:pPr>
        <w:pStyle w:val="ConsPlusNormal"/>
        <w:jc w:val="right"/>
      </w:pPr>
      <w:r>
        <w:t>В.А.ГАРЕВ</w:t>
      </w:r>
    </w:p>
    <w:p w:rsidR="00FE4F56" w:rsidRDefault="00FE4F56">
      <w:pPr>
        <w:pStyle w:val="ConsPlusNormal"/>
        <w:jc w:val="right"/>
        <w:outlineLvl w:val="0"/>
      </w:pPr>
      <w:r>
        <w:lastRenderedPageBreak/>
        <w:t>Приложение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right"/>
      </w:pPr>
      <w:r>
        <w:t>УТВЕРЖДЕНО</w:t>
      </w:r>
    </w:p>
    <w:p w:rsidR="00FE4F56" w:rsidRDefault="00FE4F56">
      <w:pPr>
        <w:pStyle w:val="ConsPlusNormal"/>
        <w:jc w:val="right"/>
      </w:pPr>
      <w:r>
        <w:t>постановление</w:t>
      </w:r>
    </w:p>
    <w:p w:rsidR="00FE4F56" w:rsidRDefault="00FE4F56">
      <w:pPr>
        <w:pStyle w:val="ConsPlusNormal"/>
        <w:jc w:val="right"/>
      </w:pPr>
      <w:r>
        <w:t>администрации</w:t>
      </w:r>
    </w:p>
    <w:p w:rsidR="00FE4F56" w:rsidRDefault="00FE4F56">
      <w:pPr>
        <w:pStyle w:val="ConsPlusNormal"/>
        <w:jc w:val="right"/>
      </w:pPr>
      <w:r>
        <w:t>города Владимира</w:t>
      </w:r>
    </w:p>
    <w:p w:rsidR="00FE4F56" w:rsidRDefault="00FE4F56">
      <w:pPr>
        <w:pStyle w:val="ConsPlusNormal"/>
        <w:jc w:val="right"/>
      </w:pPr>
      <w:r>
        <w:t>от 22.01.2021 N 117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Title"/>
        <w:jc w:val="center"/>
      </w:pPr>
      <w:bookmarkStart w:id="0" w:name="P67"/>
      <w:bookmarkEnd w:id="0"/>
      <w:r>
        <w:t>МУНИЦИПАЛЬНАЯ ПРОГРАММА</w:t>
      </w:r>
    </w:p>
    <w:p w:rsidR="00FE4F56" w:rsidRDefault="00FE4F56">
      <w:pPr>
        <w:pStyle w:val="ConsPlusTitle"/>
        <w:jc w:val="center"/>
      </w:pPr>
      <w:r>
        <w:t xml:space="preserve">"РАЗВИТИЕ МУНИЦИПАЛЬНЫХ УЧРЕЖДЕНИЙ </w:t>
      </w:r>
      <w:proofErr w:type="gramStart"/>
      <w:r>
        <w:t>ДОПОЛНИТЕЛЬНОГО</w:t>
      </w:r>
      <w:proofErr w:type="gramEnd"/>
    </w:p>
    <w:p w:rsidR="00FE4F56" w:rsidRDefault="00FE4F56">
      <w:pPr>
        <w:pStyle w:val="ConsPlusTitle"/>
        <w:jc w:val="center"/>
      </w:pPr>
      <w:r>
        <w:t>ОБРАЗОВАНИЯ В СФЕРЕ КУЛЬТУРЫ ГОРОДА ВЛАДИМИРА"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Title"/>
        <w:jc w:val="center"/>
        <w:outlineLvl w:val="1"/>
      </w:pPr>
      <w:r>
        <w:t>I. Паспорт муниципальной программы</w:t>
      </w:r>
    </w:p>
    <w:p w:rsidR="00FE4F56" w:rsidRDefault="00FE4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FE4F56">
        <w:tc>
          <w:tcPr>
            <w:tcW w:w="2551" w:type="dxa"/>
          </w:tcPr>
          <w:p w:rsidR="00FE4F56" w:rsidRDefault="00FE4F56">
            <w:pPr>
              <w:pStyle w:val="ConsPlusNormal"/>
            </w:pPr>
            <w:r>
              <w:t>Наименование и КАПК муниципальной программы</w:t>
            </w:r>
          </w:p>
        </w:tc>
        <w:tc>
          <w:tcPr>
            <w:tcW w:w="6520" w:type="dxa"/>
          </w:tcPr>
          <w:p w:rsidR="00FE4F56" w:rsidRDefault="00FE4F56">
            <w:pPr>
              <w:pStyle w:val="ConsPlusNormal"/>
            </w:pPr>
            <w:r>
              <w:t>"Развитие муниципальных учреждений дополнительного образования в сфере культуры города Владимира" (далее - программа) - 92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Управление культуры администрации города Владимира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Соисполнители и участники муниципальной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Управление архитектуры и строительства администрации города Владимира (далее - </w:t>
            </w:r>
            <w:proofErr w:type="spellStart"/>
            <w:r>
              <w:t>УАиС</w:t>
            </w:r>
            <w:proofErr w:type="spellEnd"/>
            <w:r>
              <w:t>);</w:t>
            </w:r>
          </w:p>
          <w:p w:rsidR="00FE4F56" w:rsidRDefault="00FE4F56">
            <w:pPr>
              <w:pStyle w:val="ConsPlusNormal"/>
            </w:pPr>
            <w:r>
              <w:t>муниципальные учреждения дополнительного образования в сфере культуры города Владимира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Цели и задачи муниципальной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Цель: приобщение детей к искусству, развитие их творческих способностей и приобретение ими начальных профессиональных навыков.</w:t>
            </w:r>
          </w:p>
          <w:p w:rsidR="00FE4F56" w:rsidRDefault="00FE4F56">
            <w:pPr>
              <w:pStyle w:val="ConsPlusNormal"/>
            </w:pPr>
            <w:r>
              <w:t>Достижение указанной цели планируется обеспечить посредством решения следующих задач:</w:t>
            </w:r>
          </w:p>
          <w:p w:rsidR="00FE4F56" w:rsidRDefault="00FE4F56">
            <w:pPr>
              <w:pStyle w:val="ConsPlusNormal"/>
            </w:pPr>
            <w:r>
              <w:t>- обеспечение предоставления муниципальной услуги по реализации дополнительных общеобразовательных программ в учреждениях дополнительного образования в сфере культуры;</w:t>
            </w:r>
          </w:p>
          <w:p w:rsidR="00FE4F56" w:rsidRDefault="00FE4F56">
            <w:pPr>
              <w:pStyle w:val="ConsPlusNormal"/>
            </w:pPr>
            <w:r>
              <w:t>- повышение качества предоставления муниципальной услуги по реализации дополнительных общеобразовательных программ в учреждениях дополнительного образования в сфере культуры;</w:t>
            </w:r>
          </w:p>
          <w:p w:rsidR="00FE4F56" w:rsidRDefault="00FE4F56">
            <w:pPr>
              <w:pStyle w:val="ConsPlusNormal"/>
            </w:pPr>
            <w:r>
              <w:t>- повышение эффективности предоставления муниципальной услуги по реализации дополнительных общеобразовательных программ в учреждениях дополнительного образования в сфере культуры;</w:t>
            </w:r>
          </w:p>
          <w:p w:rsidR="00FE4F56" w:rsidRDefault="00FE4F56">
            <w:pPr>
              <w:pStyle w:val="ConsPlusNormal"/>
            </w:pPr>
            <w:r>
              <w:t>- реализация регионального проекта "Культурная среда", обеспечивающего достижение целей, показателей и результатов федерального проекта "Культурная среда", входящего в состав национального проекта "Культура"</w:t>
            </w:r>
          </w:p>
        </w:tc>
      </w:tr>
      <w:tr w:rsidR="00FE4F56">
        <w:tc>
          <w:tcPr>
            <w:tcW w:w="2551" w:type="dxa"/>
          </w:tcPr>
          <w:p w:rsidR="00FE4F56" w:rsidRDefault="00FE4F56">
            <w:pPr>
              <w:pStyle w:val="ConsPlusNormal"/>
            </w:pPr>
            <w:r>
              <w:t>Сроки реализации</w:t>
            </w:r>
          </w:p>
        </w:tc>
        <w:tc>
          <w:tcPr>
            <w:tcW w:w="6520" w:type="dxa"/>
          </w:tcPr>
          <w:p w:rsidR="00FE4F56" w:rsidRDefault="00FE4F56">
            <w:pPr>
              <w:pStyle w:val="ConsPlusNormal"/>
            </w:pPr>
            <w:r>
              <w:t>2021 - 2026 годы без разделения на этапы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Прогнозная оценка ресурсного обеспечения реализации муниципальной </w:t>
            </w:r>
            <w:r>
              <w:lastRenderedPageBreak/>
              <w:t>программы по годам реализации и в разрезе источников финансирования</w:t>
            </w:r>
          </w:p>
        </w:tc>
        <w:tc>
          <w:tcPr>
            <w:tcW w:w="6520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lastRenderedPageBreak/>
              <w:t>Общий объем финансирования реализации программы составляет 1553010,34 тыс. руб., в том числе:</w:t>
            </w:r>
          </w:p>
          <w:p w:rsidR="00FE4F56" w:rsidRDefault="00FE4F56">
            <w:pPr>
              <w:pStyle w:val="ConsPlusNormal"/>
            </w:pPr>
            <w:r>
              <w:t>2021 год - 219959,84 тыс. руб.;</w:t>
            </w:r>
          </w:p>
          <w:p w:rsidR="00FE4F56" w:rsidRDefault="00FE4F56">
            <w:pPr>
              <w:pStyle w:val="ConsPlusNormal"/>
            </w:pPr>
            <w:r>
              <w:t>2022 год - 230816,2 тыс. руб.;</w:t>
            </w:r>
          </w:p>
          <w:p w:rsidR="00FE4F56" w:rsidRDefault="00FE4F56">
            <w:pPr>
              <w:pStyle w:val="ConsPlusNormal"/>
            </w:pPr>
            <w:r>
              <w:lastRenderedPageBreak/>
              <w:t>2023 год - 268970,1 тыс. руб.;</w:t>
            </w:r>
          </w:p>
          <w:p w:rsidR="00FE4F56" w:rsidRDefault="00FE4F56">
            <w:pPr>
              <w:pStyle w:val="ConsPlusNormal"/>
            </w:pPr>
            <w:r>
              <w:t>2024 год - 311827,8 тыс. руб.;</w:t>
            </w:r>
          </w:p>
          <w:p w:rsidR="00FE4F56" w:rsidRDefault="00FE4F56">
            <w:pPr>
              <w:pStyle w:val="ConsPlusNormal"/>
            </w:pPr>
            <w:r>
              <w:t>2025 год - 260718,2 тыс. руб.;</w:t>
            </w:r>
          </w:p>
          <w:p w:rsidR="00FE4F56" w:rsidRDefault="00FE4F56">
            <w:pPr>
              <w:pStyle w:val="ConsPlusNormal"/>
            </w:pPr>
            <w:r>
              <w:t>2026 год - 260718,2 тыс. руб.;</w:t>
            </w:r>
          </w:p>
          <w:p w:rsidR="00FE4F56" w:rsidRDefault="00FE4F56">
            <w:pPr>
              <w:pStyle w:val="ConsPlusNormal"/>
            </w:pPr>
            <w:r>
              <w:t>- объем средств из бюджета города - 977111,54 тыс. руб., в том числе:</w:t>
            </w:r>
          </w:p>
          <w:p w:rsidR="00FE4F56" w:rsidRDefault="00FE4F56">
            <w:pPr>
              <w:pStyle w:val="ConsPlusNormal"/>
            </w:pPr>
            <w:r>
              <w:t>2021 год - 139698,44 тыс. руб.;</w:t>
            </w:r>
          </w:p>
          <w:p w:rsidR="00FE4F56" w:rsidRDefault="00FE4F56">
            <w:pPr>
              <w:pStyle w:val="ConsPlusNormal"/>
            </w:pPr>
            <w:r>
              <w:t>2022 год - 150357,7 тыс. руб.;</w:t>
            </w:r>
          </w:p>
          <w:p w:rsidR="00FE4F56" w:rsidRDefault="00FE4F56">
            <w:pPr>
              <w:pStyle w:val="ConsPlusNormal"/>
            </w:pPr>
            <w:r>
              <w:t>2023 год - 175374,4 тыс. руб.;</w:t>
            </w:r>
          </w:p>
          <w:p w:rsidR="00FE4F56" w:rsidRDefault="00FE4F56">
            <w:pPr>
              <w:pStyle w:val="ConsPlusNormal"/>
            </w:pPr>
            <w:r>
              <w:t>2024 год - 172264,0 тыс. руб.;</w:t>
            </w:r>
          </w:p>
          <w:p w:rsidR="00FE4F56" w:rsidRDefault="00FE4F56">
            <w:pPr>
              <w:pStyle w:val="ConsPlusNormal"/>
            </w:pPr>
            <w:r>
              <w:t>2025 год - 169708,5 тыс. руб.;</w:t>
            </w:r>
          </w:p>
          <w:p w:rsidR="00FE4F56" w:rsidRDefault="00FE4F56">
            <w:pPr>
              <w:pStyle w:val="ConsPlusNormal"/>
            </w:pPr>
            <w:r>
              <w:t>2026 год - 169708,5 тыс. руб.;</w:t>
            </w:r>
          </w:p>
          <w:p w:rsidR="00FE4F56" w:rsidRDefault="00FE4F56">
            <w:pPr>
              <w:pStyle w:val="ConsPlusNormal"/>
            </w:pPr>
            <w:r>
              <w:t>- объем средств из областного бюджета - 248324,5 тыс. руб., в том числе:</w:t>
            </w:r>
          </w:p>
          <w:p w:rsidR="00FE4F56" w:rsidRDefault="00FE4F56">
            <w:pPr>
              <w:pStyle w:val="ConsPlusNormal"/>
            </w:pPr>
            <w:r>
              <w:t>2021 год - 32526,9 тыс. руб.;</w:t>
            </w:r>
          </w:p>
          <w:p w:rsidR="00FE4F56" w:rsidRDefault="00FE4F56">
            <w:pPr>
              <w:pStyle w:val="ConsPlusNormal"/>
            </w:pPr>
            <w:r>
              <w:t>2022 год - 38501,6 тыс. руб.;</w:t>
            </w:r>
          </w:p>
          <w:p w:rsidR="00FE4F56" w:rsidRDefault="00FE4F56">
            <w:pPr>
              <w:pStyle w:val="ConsPlusNormal"/>
            </w:pPr>
            <w:r>
              <w:t>2023 год - 43049,7 тыс. руб.;</w:t>
            </w:r>
          </w:p>
          <w:p w:rsidR="00FE4F56" w:rsidRDefault="00FE4F56">
            <w:pPr>
              <w:pStyle w:val="ConsPlusNormal"/>
            </w:pPr>
            <w:r>
              <w:t>2024 год - 47338,3 тыс. руб.;</w:t>
            </w:r>
          </w:p>
          <w:p w:rsidR="00FE4F56" w:rsidRDefault="00FE4F56">
            <w:pPr>
              <w:pStyle w:val="ConsPlusNormal"/>
            </w:pPr>
            <w:r>
              <w:t>2025 год - 43454,0 тыс. руб.;</w:t>
            </w:r>
          </w:p>
          <w:p w:rsidR="00FE4F56" w:rsidRDefault="00FE4F56">
            <w:pPr>
              <w:pStyle w:val="ConsPlusNormal"/>
            </w:pPr>
            <w:r>
              <w:t>2026 год - 43454,0 тыс. руб.;</w:t>
            </w:r>
          </w:p>
          <w:p w:rsidR="00FE4F56" w:rsidRDefault="00FE4F56">
            <w:pPr>
              <w:pStyle w:val="ConsPlusNormal"/>
            </w:pPr>
            <w:r>
              <w:t>- объем средств из федерального бюджета - 59573,2 тыс. руб., в том числе:</w:t>
            </w:r>
          </w:p>
          <w:p w:rsidR="00FE4F56" w:rsidRDefault="00FE4F56">
            <w:pPr>
              <w:pStyle w:val="ConsPlusNormal"/>
            </w:pPr>
            <w:r>
              <w:t>2021 год - 10233,8 тыс. руб.;</w:t>
            </w:r>
          </w:p>
          <w:p w:rsidR="00FE4F56" w:rsidRDefault="00FE4F56">
            <w:pPr>
              <w:pStyle w:val="ConsPlusNormal"/>
            </w:pPr>
            <w:r>
              <w:t>2023 год - 4669,6 тыс. руб.;</w:t>
            </w:r>
          </w:p>
          <w:p w:rsidR="00FE4F56" w:rsidRDefault="00FE4F56">
            <w:pPr>
              <w:pStyle w:val="ConsPlusNormal"/>
            </w:pPr>
            <w:r>
              <w:t>2024 год - 44669,8 тыс. руб.;</w:t>
            </w:r>
          </w:p>
          <w:p w:rsidR="00FE4F56" w:rsidRDefault="00FE4F56">
            <w:pPr>
              <w:pStyle w:val="ConsPlusNormal"/>
            </w:pPr>
            <w:r>
              <w:t xml:space="preserve">- объем средств </w:t>
            </w:r>
            <w:proofErr w:type="gramStart"/>
            <w:r>
              <w:t>из</w:t>
            </w:r>
            <w:proofErr w:type="gramEnd"/>
            <w:r>
              <w:t xml:space="preserve"> внебюджетных</w:t>
            </w:r>
          </w:p>
          <w:p w:rsidR="00FE4F56" w:rsidRDefault="00FE4F56">
            <w:pPr>
              <w:pStyle w:val="ConsPlusNormal"/>
            </w:pPr>
            <w:r>
              <w:t>источников - 268001,1 тыс. руб., в том числе:</w:t>
            </w:r>
          </w:p>
          <w:p w:rsidR="00FE4F56" w:rsidRDefault="00FE4F56">
            <w:pPr>
              <w:pStyle w:val="ConsPlusNormal"/>
            </w:pPr>
            <w:r>
              <w:t>2021 год - 37500,7 тыс. руб.;</w:t>
            </w:r>
          </w:p>
          <w:p w:rsidR="00FE4F56" w:rsidRDefault="00FE4F56">
            <w:pPr>
              <w:pStyle w:val="ConsPlusNormal"/>
            </w:pPr>
            <w:r>
              <w:t>2022 год - 41956,9 тыс. руб.;</w:t>
            </w:r>
          </w:p>
          <w:p w:rsidR="00FE4F56" w:rsidRDefault="00FE4F56">
            <w:pPr>
              <w:pStyle w:val="ConsPlusNormal"/>
            </w:pPr>
            <w:r>
              <w:t>2023 год - 45876,4 тыс. руб.;</w:t>
            </w:r>
          </w:p>
          <w:p w:rsidR="00FE4F56" w:rsidRDefault="00FE4F56">
            <w:pPr>
              <w:pStyle w:val="ConsPlusNormal"/>
            </w:pPr>
            <w:r>
              <w:t>2024 год - 47555,7 тыс. руб.;</w:t>
            </w:r>
          </w:p>
          <w:p w:rsidR="00FE4F56" w:rsidRDefault="00FE4F56">
            <w:pPr>
              <w:pStyle w:val="ConsPlusNormal"/>
            </w:pPr>
            <w:r>
              <w:t>2025 год - 47555,7 тыс. руб.;</w:t>
            </w:r>
          </w:p>
          <w:p w:rsidR="00FE4F56" w:rsidRDefault="00FE4F56">
            <w:pPr>
              <w:pStyle w:val="ConsPlusNormal"/>
            </w:pPr>
            <w:r>
              <w:t>2026 год - 47555,7 тыс. руб.</w:t>
            </w:r>
          </w:p>
        </w:tc>
      </w:tr>
      <w:tr w:rsidR="00FE4F56">
        <w:tc>
          <w:tcPr>
            <w:tcW w:w="2551" w:type="dxa"/>
          </w:tcPr>
          <w:p w:rsidR="00FE4F56" w:rsidRDefault="00FE4F56">
            <w:pPr>
              <w:pStyle w:val="ConsPlusNormal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</w:tcPr>
          <w:p w:rsidR="00FE4F56" w:rsidRDefault="00FE4F56">
            <w:pPr>
              <w:pStyle w:val="ConsPlusNormal"/>
            </w:pPr>
            <w:r>
              <w:t xml:space="preserve">- </w:t>
            </w:r>
            <w:proofErr w:type="spellStart"/>
            <w:r>
              <w:t>предпрофессиональная</w:t>
            </w:r>
            <w:proofErr w:type="spellEnd"/>
            <w:r>
              <w:t xml:space="preserve"> подготовка, </w:t>
            </w:r>
            <w:proofErr w:type="spellStart"/>
            <w:r>
              <w:t>общеэстетическое</w:t>
            </w:r>
            <w:proofErr w:type="spellEnd"/>
            <w:r>
              <w:t xml:space="preserve"> воспитание подрастающего поколения, обеспечивающее формирование культурно-образованной части общества;</w:t>
            </w:r>
          </w:p>
          <w:p w:rsidR="00FE4F56" w:rsidRDefault="00FE4F56">
            <w:pPr>
              <w:pStyle w:val="ConsPlusNormal"/>
            </w:pPr>
            <w:r>
              <w:t>- сохранение среднегодового контингента учащихся;</w:t>
            </w:r>
          </w:p>
          <w:p w:rsidR="00FE4F56" w:rsidRDefault="00FE4F56">
            <w:pPr>
              <w:pStyle w:val="ConsPlusNormal"/>
            </w:pPr>
            <w:r>
              <w:t>- повышение качества дополнительного образования в области культуры и искусства;</w:t>
            </w:r>
          </w:p>
          <w:p w:rsidR="00FE4F56" w:rsidRDefault="00FE4F56">
            <w:pPr>
              <w:pStyle w:val="ConsPlusNormal"/>
            </w:pPr>
            <w:r>
              <w:t>- укрепление материально-технической базы школ искусств;</w:t>
            </w:r>
          </w:p>
          <w:p w:rsidR="00FE4F56" w:rsidRDefault="00FE4F56">
            <w:pPr>
              <w:pStyle w:val="ConsPlusNormal"/>
            </w:pPr>
            <w:r>
              <w:t>- повышение квалификации педагогических и руководящих работников детских школ искусств;</w:t>
            </w:r>
          </w:p>
          <w:p w:rsidR="00FE4F56" w:rsidRDefault="00FE4F56">
            <w:pPr>
              <w:pStyle w:val="ConsPlusNormal"/>
            </w:pPr>
            <w:r>
              <w:t>- осуществление поддержки талантливых и одаренных детей - учащихся школ искусств</w:t>
            </w:r>
          </w:p>
        </w:tc>
      </w:tr>
    </w:tbl>
    <w:p w:rsidR="00FE4F56" w:rsidRDefault="00FE4F56">
      <w:pPr>
        <w:pStyle w:val="ConsPlusNormal"/>
        <w:jc w:val="both"/>
      </w:pPr>
    </w:p>
    <w:p w:rsidR="00FE4F56" w:rsidRDefault="00FE4F56">
      <w:pPr>
        <w:pStyle w:val="ConsPlusTitle"/>
        <w:jc w:val="center"/>
        <w:outlineLvl w:val="1"/>
      </w:pPr>
      <w:r>
        <w:t>II. Характеристика проблем, решение которых осуществляется</w:t>
      </w:r>
    </w:p>
    <w:p w:rsidR="00FE4F56" w:rsidRDefault="00FE4F56">
      <w:pPr>
        <w:pStyle w:val="ConsPlusTitle"/>
        <w:jc w:val="center"/>
      </w:pPr>
      <w:r>
        <w:t>путем реализации программы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ind w:firstLine="540"/>
        <w:jc w:val="both"/>
      </w:pPr>
      <w:r>
        <w:t xml:space="preserve">Система детского художественного образования насчитывает более чем 100-летнюю историю. Детские школы искусств (в них обучаются дети и молодежь в возрасте от 3 до 18 лет), выполняя функции общего художественно-эстетического образования и воспитания детей, обеспечивают раннее выявление одаренных детей и, что важно, создают условия для их </w:t>
      </w:r>
      <w:r>
        <w:lastRenderedPageBreak/>
        <w:t xml:space="preserve">дальнейшего профессионального роста. Школы искусств являются 1 уровнем системы </w:t>
      </w:r>
      <w:proofErr w:type="spellStart"/>
      <w:r>
        <w:t>трехуровнего</w:t>
      </w:r>
      <w:proofErr w:type="spellEnd"/>
      <w:r>
        <w:t xml:space="preserve"> образования в области культуры: школа - колледж - вуз. Это необходимая база и фундамент будущего профессионального образования. Внедрение </w:t>
      </w:r>
      <w:proofErr w:type="spellStart"/>
      <w:r>
        <w:t>предпрофессиональных</w:t>
      </w:r>
      <w:proofErr w:type="spellEnd"/>
      <w:r>
        <w:t xml:space="preserve"> программ призвано обеспечивать их преемственность к основным профессиональным программам среднего и высшего профессионального образования в области искусств, сохранение единства образовательного пространства в сфере культуры и искусства. </w:t>
      </w:r>
      <w:proofErr w:type="gramStart"/>
      <w:r>
        <w:t xml:space="preserve">Цель системы детских школ искусств - с помощью всех возможных форм творческого образования сформировать позитивные изменения уровня культурного образования населения, сделать доступными освоение детьми не только традиционного, но и современного творческого инструментария в целях дальнейшего саморазвития личности, а также обеспечить условия для активного воздействия выпускниками школ на </w:t>
      </w:r>
      <w:proofErr w:type="spellStart"/>
      <w:r>
        <w:t>социокультурную</w:t>
      </w:r>
      <w:proofErr w:type="spellEnd"/>
      <w:r>
        <w:t xml:space="preserve"> общественную жизнь с помощью обретенных творческих навыков.</w:t>
      </w:r>
      <w:proofErr w:type="gramEnd"/>
    </w:p>
    <w:p w:rsidR="00FE4F56" w:rsidRDefault="00FE4F56">
      <w:pPr>
        <w:pStyle w:val="ConsPlusNormal"/>
        <w:spacing w:before="220"/>
        <w:ind w:firstLine="540"/>
        <w:jc w:val="both"/>
      </w:pPr>
      <w:r>
        <w:t>В современных условиях в стране имеет место тенденция сокращения количества детских школ искусств. Однако в нашем городе сеть школ искусств сохраняется, что является положительной тенденцией в развитии школ. В настоящее время на территории города Владимира осуществляют деятельность 9 муниципальных образовательных учреждений дополнительного образования детей (далее - школы искусств): 6 школ искусств, музыкальная, хореографическая и художественная школы. В них постоянно обучается более 4000 детей и подростков, что составляет более 13% от общего количества детей, обучающихся в общеобразовательных школах. По организационной форме все учреждения являются муниципальными (бюджетными и автономными) учреждениями дополнительного образования.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Обучение в школах искусств осуществляется по следующим направлениям: музыкальное, художественное, хореографическое, вокально-хоровое, эстетическое, театральное и другие направления.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Показателем объема выполнения муниципальной услуги по реализации дополнительных общеобразовательных программ в учреждениях дополнительного образования в сфере культуры определяется количеством человеко-часов нахождения учащихся в школах искусств. Показатели качества и эффективности оцениваются комплексом критериев и соответствующих каждому критерию объемных показателей: сохранение среднегодового контингента; численность педагогических кадров, имеющих высшую, первую квалификационные категории; количество наград в конкурсах, фестивалях, выставках, олимпиадах различного уровня; сохранение количества творческих коллективов школ и др.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Услуги школ искусств востребованы в нашем городе. Об этом указывает анализ охвата детей, обучающихся в школах искусств, от общего количества обучающихся в общеобразовательных школах города в возрасте от 6 до 18 лет, который последнее время имеет тенденцию роста. Среднегодовое количество учащихся на протяжении последних 3 лет остается примерно на том же уровне, даже просматривается некоторый рост. Дальнейший рост количества учащихся не может быть обеспечен из-за полного использования мощностей помещений школ.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В этой связи актуальной проблемой школ искусств является повышение качества деятельности. Эта проблема включает в себя: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- материально-техническое оснащение учреждений: ремонтные работы, приобретение музыкальных инструментов, компьютерной техники, мебели;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- дефицит профессиональных квалифицированных кадров по отдельным видам искусств;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внедрение в образовательный процесс новых авторских образовательных программ, внедрение </w:t>
      </w:r>
      <w:proofErr w:type="spellStart"/>
      <w:r>
        <w:t>предпрофессиональных</w:t>
      </w:r>
      <w:proofErr w:type="spellEnd"/>
      <w:r>
        <w:t xml:space="preserve"> программ.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Внедрение программно-целевого метода позволит в полной мере осуществить конкретные </w:t>
      </w:r>
      <w:r>
        <w:lastRenderedPageBreak/>
        <w:t>мероприятия по созданию условий для развития дополнительного образования в сфере культуры города и эффективно использовать бюджетные средства для достижения социально значимых результатов.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Title"/>
        <w:jc w:val="center"/>
        <w:outlineLvl w:val="1"/>
      </w:pPr>
      <w:r>
        <w:t>III. Приоритеты, цель и задачи программы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ind w:firstLine="540"/>
        <w:jc w:val="both"/>
      </w:pPr>
      <w:r>
        <w:t xml:space="preserve">Выбор приоритетов программы определен в соответствии с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 и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Федерации".</w:t>
      </w:r>
    </w:p>
    <w:p w:rsidR="00FE4F56" w:rsidRDefault="00FE4F56">
      <w:pPr>
        <w:pStyle w:val="ConsPlusNormal"/>
        <w:spacing w:before="220"/>
        <w:ind w:firstLine="540"/>
        <w:jc w:val="both"/>
      </w:pPr>
      <w:proofErr w:type="gramStart"/>
      <w:r>
        <w:t>Исходя из приоритетов сформулирована</w:t>
      </w:r>
      <w:proofErr w:type="gramEnd"/>
      <w:r>
        <w:t xml:space="preserve"> цель программы: приобщение детей к искусству, развитие их творческих способностей и приобретение ими начальных профессиональных навыков.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Достижение указанной цели планируется обеспечить посредством решения следующих задач: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- обеспечение предоставления муниципальной услуги по реализации дополнительных общеобразовательных программ в учреждениях дополнительного образования в сфере культуры;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- повышение качества предоставления муниципальной услуги по реализации дополнительных общеобразовательных программ в учреждениях дополнительного образования в сфере культуры;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- повышение эффективности предоставления муниципальной услуги по реализации дополнительных общеобразовательных программ в учреждениях дополнительного образования в сфере культуры;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- реализация регионального проекта "Культурная среда", обеспечивающего достижение целей, показателей и результатов федерального проекта "Культурная среда", входящего в состав национального проекта "Культура".</w:t>
      </w:r>
    </w:p>
    <w:p w:rsidR="00FE4F56" w:rsidRDefault="00FE4F56">
      <w:pPr>
        <w:pStyle w:val="ConsPlusNormal"/>
        <w:spacing w:before="220"/>
        <w:ind w:firstLine="540"/>
        <w:jc w:val="both"/>
      </w:pPr>
      <w:hyperlink w:anchor="P251">
        <w:r>
          <w:rPr>
            <w:color w:val="0000FF"/>
          </w:rPr>
          <w:t>Перечень</w:t>
        </w:r>
      </w:hyperlink>
      <w:r>
        <w:t xml:space="preserve"> мероприятий программы представлен в приложении N 1 к программе.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Title"/>
        <w:jc w:val="center"/>
        <w:outlineLvl w:val="1"/>
      </w:pPr>
      <w:r>
        <w:t>IV. Ресурсное обеспечение программы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ind w:firstLine="540"/>
        <w:jc w:val="both"/>
      </w:pPr>
      <w:r>
        <w:t>Реализацию мероприятий программы планируется осуществлять путем предоставления субсидий из бюджета города бюджетным и автономным учреждениям, а также привлечения внебюджетных источников.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428">
        <w:r>
          <w:rPr>
            <w:color w:val="0000FF"/>
          </w:rPr>
          <w:t>обеспечение</w:t>
        </w:r>
      </w:hyperlink>
      <w:r>
        <w:t xml:space="preserve"> реализации программы за счет бюджетных средств (в разрезе финансируемых мероприятий) представлено в приложении N 2 к программе.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Ресурсное обеспечение программы за счет средств бюджета города (собственных и привлеченных из областного бюджета) подлежит уточнению в рамках бюджетного цикла.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Прогнозная (справочная) </w:t>
      </w:r>
      <w:hyperlink w:anchor="P994">
        <w:r>
          <w:rPr>
            <w:color w:val="0000FF"/>
          </w:rPr>
          <w:t>оценка</w:t>
        </w:r>
      </w:hyperlink>
      <w:r>
        <w:t xml:space="preserve"> ресурсного обеспечения реализации программы за счет всех источников финансирования представлена в приложении N 3 к программе.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Title"/>
        <w:jc w:val="center"/>
        <w:outlineLvl w:val="1"/>
      </w:pPr>
      <w:r>
        <w:t>V. Результативность программы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ind w:firstLine="540"/>
        <w:jc w:val="both"/>
      </w:pPr>
      <w:r>
        <w:t>В результате выполнения мероприятий программы ожидается: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предпрофессиональная</w:t>
      </w:r>
      <w:proofErr w:type="spellEnd"/>
      <w:r>
        <w:t xml:space="preserve"> подготовка, </w:t>
      </w:r>
      <w:proofErr w:type="spellStart"/>
      <w:r>
        <w:t>общеэстетическое</w:t>
      </w:r>
      <w:proofErr w:type="spellEnd"/>
      <w:r>
        <w:t xml:space="preserve"> воспитание подрастающего поколения, обеспечивающее формирование культурно-образованной части общества;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lastRenderedPageBreak/>
        <w:t>- сохранение среднегодового контингента учащихся;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- повышение качества дополнительного образования детей в области культуры и искусства;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- укрепление материально-технической базы школ искусств;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- повышение квалификации педагогических и руководящих работников детских школ искусств;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- осуществление поддержки талантливых и одаренных детей - учащихся школ искусств.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Результативность программы будет оцениваться на основе целевых показателей.</w:t>
      </w:r>
    </w:p>
    <w:p w:rsidR="00FE4F56" w:rsidRDefault="00FE4F56">
      <w:pPr>
        <w:pStyle w:val="ConsPlusNormal"/>
        <w:spacing w:before="220"/>
        <w:ind w:firstLine="540"/>
        <w:jc w:val="both"/>
      </w:pPr>
      <w:hyperlink w:anchor="P1081">
        <w:r>
          <w:rPr>
            <w:color w:val="0000FF"/>
          </w:rPr>
          <w:t>Сведения</w:t>
        </w:r>
      </w:hyperlink>
      <w:r>
        <w:t xml:space="preserve"> о составе и значениях целевых показателей (индикаторов) программы представлены в приложении N 4 к программе.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Title"/>
        <w:jc w:val="center"/>
        <w:outlineLvl w:val="2"/>
      </w:pPr>
      <w:r>
        <w:t>Методика</w:t>
      </w:r>
    </w:p>
    <w:p w:rsidR="00FE4F56" w:rsidRDefault="00FE4F56">
      <w:pPr>
        <w:pStyle w:val="ConsPlusTitle"/>
        <w:jc w:val="center"/>
      </w:pPr>
      <w:r>
        <w:t>расчета (получения) показателей (индикаторов)</w:t>
      </w:r>
    </w:p>
    <w:p w:rsidR="00FE4F56" w:rsidRDefault="00FE4F56">
      <w:pPr>
        <w:pStyle w:val="ConsPlusTitle"/>
        <w:jc w:val="center"/>
      </w:pPr>
      <w:r>
        <w:t>результативности программы</w:t>
      </w:r>
    </w:p>
    <w:p w:rsidR="00FE4F56" w:rsidRDefault="00FE4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4989"/>
      </w:tblGrid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N</w:t>
            </w:r>
          </w:p>
          <w:p w:rsidR="00FE4F56" w:rsidRDefault="00FE4F5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5" w:type="dxa"/>
          </w:tcPr>
          <w:p w:rsidR="00FE4F56" w:rsidRDefault="00FE4F5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  <w:jc w:val="center"/>
            </w:pPr>
            <w:r>
              <w:t>Метод расчета (получения)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FE4F56" w:rsidRDefault="00FE4F56">
            <w:pPr>
              <w:pStyle w:val="ConsPlusNormal"/>
            </w:pPr>
            <w:r>
              <w:t>Среднегодовое количество учащихся, чел.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</w:pPr>
            <w:r>
              <w:t>Определяется в соответствии с указаниями о порядке заполнения показателей сводов отчетов по сети, штатам и контингентам получателей бюджетных средств, состоящих на бюджете субъекта РФ и бюджетах муниципальных образований, суммированием данных списочного состава на каждое первое число месяца отчетного года и делением на 12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FE4F56" w:rsidRDefault="00FE4F56">
            <w:pPr>
              <w:pStyle w:val="ConsPlusNormal"/>
            </w:pPr>
            <w:r>
              <w:t xml:space="preserve">Объем предоставляемой муниципальной услуги по реализации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программ,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час</w:t>
            </w:r>
            <w:proofErr w:type="spellEnd"/>
            <w:r>
              <w:t>.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</w:pPr>
            <w:r>
              <w:t>Определяется путем суммирования количества часов пребывания учащихся в учебном заведении в соответствии с утвержденным учебным планом на каждое первое число месяца отчетного года и деления на 9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FE4F56" w:rsidRDefault="00FE4F56">
            <w:pPr>
              <w:pStyle w:val="ConsPlusNormal"/>
            </w:pPr>
            <w:r>
              <w:t xml:space="preserve">Объем предоставляемой муниципальной услуги по реализации дополнительных общеобразовательных </w:t>
            </w:r>
            <w:proofErr w:type="spellStart"/>
            <w:r>
              <w:t>предпрофессиональных</w:t>
            </w:r>
            <w:proofErr w:type="spellEnd"/>
            <w:r>
              <w:t xml:space="preserve"> программ в области искусств,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час</w:t>
            </w:r>
            <w:proofErr w:type="spellEnd"/>
            <w:r>
              <w:t>.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</w:pPr>
            <w:r>
              <w:t>Определяется путем суммирования количества часов пребывания учащихся в учебном заведении в соответствии с учебным планом на каждое первое число месяца отчетного года и деления на 9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FE4F56" w:rsidRDefault="00FE4F56">
            <w:pPr>
              <w:pStyle w:val="ConsPlusNormal"/>
            </w:pPr>
            <w:r>
              <w:t>Охват детей, обучающихся в школах искусств, от общего количества учащихся общеобразовательных школ города, % &lt;*&gt;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</w:pPr>
            <w:r>
              <w:t>Определяется путем вычисления процентного соотношения данных о численности количества учащихся муниципальных школ искусств от численности учащихся общеобразовательных школ города от 5 до 18 лет по данным статистики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FE4F56" w:rsidRDefault="00FE4F56">
            <w:pPr>
              <w:pStyle w:val="ConsPlusNormal"/>
            </w:pPr>
            <w:r>
              <w:t>Количество учебных творческих коллективов, ед.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</w:pPr>
            <w:r>
              <w:t>Определяется на основании отчетов руководителей учреждений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FE4F56" w:rsidRDefault="00FE4F56">
            <w:pPr>
              <w:pStyle w:val="ConsPlusNormal"/>
            </w:pPr>
            <w:r>
              <w:t xml:space="preserve">Количество призовых мест, </w:t>
            </w:r>
            <w:r>
              <w:lastRenderedPageBreak/>
              <w:t>полученных учащимися и коллективами школ, ед.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</w:pPr>
            <w:r>
              <w:lastRenderedPageBreak/>
              <w:t xml:space="preserve">Призовыми считаются присуждение гран-при, </w:t>
            </w:r>
            <w:r>
              <w:lastRenderedPageBreak/>
              <w:t>звания лауреатов 1, 2, 3 степени, полученные учащимися детских школ искусств на конкурсах и фестивалях различных уровней. Определяется в соответствии с отчетами руководителей учреждений на основании документов о награждении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515" w:type="dxa"/>
          </w:tcPr>
          <w:p w:rsidR="00FE4F56" w:rsidRDefault="00FE4F56">
            <w:pPr>
              <w:pStyle w:val="ConsPlusNormal"/>
            </w:pPr>
            <w:r>
              <w:t xml:space="preserve">Доля выпускников школ, поступивших в </w:t>
            </w:r>
            <w:proofErr w:type="spellStart"/>
            <w:r>
              <w:t>ссузы</w:t>
            </w:r>
            <w:proofErr w:type="spellEnd"/>
            <w:r>
              <w:t xml:space="preserve"> и вузы сферы культуры, %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</w:pPr>
            <w:r>
              <w:t>Определяется по отчетам руководителей учреждений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</w:tcPr>
          <w:p w:rsidR="00FE4F56" w:rsidRDefault="00FE4F56">
            <w:pPr>
              <w:pStyle w:val="ConsPlusNormal"/>
            </w:pPr>
            <w:r>
              <w:t>Численность преподавателей, имеющих высшую и первую квалификационную категорию, чел.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</w:pPr>
            <w:r>
              <w:t xml:space="preserve">Определяется </w:t>
            </w:r>
            <w:proofErr w:type="gramStart"/>
            <w:r>
              <w:t>в соответствии с отчетами руководителей учреждений по итогам аттестации педагогических работников на основании приказов о присвоении</w:t>
            </w:r>
            <w:proofErr w:type="gramEnd"/>
            <w:r>
              <w:t xml:space="preserve"> (подтверждении) квалификационной категории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15" w:type="dxa"/>
          </w:tcPr>
          <w:p w:rsidR="00FE4F56" w:rsidRDefault="00FE4F56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 &lt;*&gt;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</w:pPr>
            <w:r>
              <w:t>Определяется путем процентного соотношения количества учреждений, требующих капитального ремонта или находящихся в аварийном состоянии, к общему количеству учреждений на основании актов обследования учреждений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15" w:type="dxa"/>
          </w:tcPr>
          <w:p w:rsidR="00FE4F56" w:rsidRDefault="00FE4F56">
            <w:pPr>
              <w:pStyle w:val="ConsPlusNormal"/>
            </w:pPr>
            <w:r>
              <w:t>Степень соответствия учреждений, предоставляющих муниципальную услугу, требованиям действующих нормативных правовых актов, %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</w:pPr>
            <w:r>
              <w:t>Определяется путем процентного соотношения количества учреждений, соответствующих требованиям действующих нормативных правовых актов, к общему количеству учреждений на основании предписаний проверяющих организаций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15" w:type="dxa"/>
          </w:tcPr>
          <w:p w:rsidR="00FE4F56" w:rsidRDefault="00FE4F56">
            <w:pPr>
              <w:pStyle w:val="ConsPlusNormal"/>
            </w:pPr>
            <w:r>
              <w:t>Количество учреждений дополнительного образования в сфере культуры, оснащенных музыкальными инструментами, оборудованием и учебными материалами</w:t>
            </w:r>
          </w:p>
        </w:tc>
        <w:tc>
          <w:tcPr>
            <w:tcW w:w="4989" w:type="dxa"/>
          </w:tcPr>
          <w:p w:rsidR="00FE4F56" w:rsidRDefault="00FE4F56">
            <w:pPr>
              <w:pStyle w:val="ConsPlusNormal"/>
            </w:pPr>
            <w:r>
              <w:t>Определяется по фактическому количеству учреждений, для которых приобретены музыкальные инструменты, оборудование и учебные материалы</w:t>
            </w:r>
          </w:p>
        </w:tc>
      </w:tr>
      <w:tr w:rsidR="00FE4F56" w:rsidTr="00A61099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FE4F56" w:rsidRDefault="00FE4F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FE4F56" w:rsidRDefault="00FE4F56">
            <w:pPr>
              <w:pStyle w:val="ConsPlusNormal"/>
            </w:pPr>
            <w:r>
              <w:t xml:space="preserve">Количество зданий учреждений дополнительного образования, </w:t>
            </w:r>
            <w:proofErr w:type="spellStart"/>
            <w:r>
              <w:t>отреконструированных</w:t>
            </w:r>
            <w:proofErr w:type="spellEnd"/>
            <w:r>
              <w:t xml:space="preserve"> и (или) капитально отремонтированных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FE4F56" w:rsidRDefault="00FE4F56">
            <w:pPr>
              <w:pStyle w:val="ConsPlusNormal"/>
            </w:pPr>
            <w:r>
              <w:t xml:space="preserve">Определяется по фактическому количеству </w:t>
            </w:r>
            <w:proofErr w:type="spellStart"/>
            <w:r>
              <w:t>отреконструированных</w:t>
            </w:r>
            <w:proofErr w:type="spellEnd"/>
            <w:r>
              <w:t xml:space="preserve"> и (или) капитально отремонтированных зданий детских школ искусств</w:t>
            </w:r>
          </w:p>
        </w:tc>
      </w:tr>
    </w:tbl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ind w:firstLine="540"/>
        <w:jc w:val="both"/>
      </w:pPr>
      <w:r>
        <w:t>--------------------------------</w:t>
      </w:r>
    </w:p>
    <w:p w:rsidR="00FE4F56" w:rsidRDefault="00FE4F56">
      <w:pPr>
        <w:pStyle w:val="ConsPlusNormal"/>
        <w:spacing w:before="220"/>
        <w:ind w:firstLine="540"/>
        <w:jc w:val="both"/>
      </w:pPr>
      <w:proofErr w:type="gramStart"/>
      <w:r>
        <w:t xml:space="preserve">&lt;*&gt; - показатели входят в состав показателей (N 12, 13 соответственно), предусмотренных в типовой форме </w:t>
      </w:r>
      <w:hyperlink r:id="rId34">
        <w:r>
          <w:rPr>
            <w:color w:val="0000FF"/>
          </w:rPr>
          <w:t>доклада</w:t>
        </w:r>
      </w:hyperlink>
      <w:r>
        <w:t xml:space="preserve"> главы местной администрации городского округа (муниципального района)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3-летний период, утвержденной постановлением Правительства Российской Федерации от 17.12.2012 N 1317.</w:t>
      </w:r>
      <w:proofErr w:type="gramEnd"/>
    </w:p>
    <w:p w:rsidR="00FE4F56" w:rsidRDefault="00FE4F56">
      <w:pPr>
        <w:pStyle w:val="ConsPlusNormal"/>
        <w:jc w:val="both"/>
      </w:pPr>
    </w:p>
    <w:p w:rsidR="00A61099" w:rsidRDefault="00A61099">
      <w:pPr>
        <w:pStyle w:val="ConsPlusTitle"/>
        <w:jc w:val="center"/>
        <w:outlineLvl w:val="1"/>
      </w:pPr>
    </w:p>
    <w:p w:rsidR="00FE4F56" w:rsidRDefault="00FE4F56">
      <w:pPr>
        <w:pStyle w:val="ConsPlusTitle"/>
        <w:jc w:val="center"/>
        <w:outlineLvl w:val="1"/>
      </w:pPr>
      <w:r>
        <w:lastRenderedPageBreak/>
        <w:t>VI. Принятые условные обозначения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ind w:firstLine="540"/>
        <w:jc w:val="both"/>
      </w:pPr>
      <w:r>
        <w:t>ОБ - областной бюджет;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БГ - бюджет города Владимира;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ВБИ - внебюджетные источники;</w:t>
      </w:r>
    </w:p>
    <w:p w:rsidR="00FE4F56" w:rsidRDefault="00FE4F56">
      <w:pPr>
        <w:pStyle w:val="ConsPlusNormal"/>
        <w:spacing w:before="220"/>
        <w:ind w:firstLine="540"/>
        <w:jc w:val="both"/>
      </w:pPr>
      <w:r>
        <w:t>УК - управление культуры администрации города Владимира.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right"/>
        <w:outlineLvl w:val="1"/>
      </w:pPr>
      <w:r>
        <w:t>Приложение N 1</w:t>
      </w:r>
    </w:p>
    <w:p w:rsidR="00FE4F56" w:rsidRDefault="00FE4F56">
      <w:pPr>
        <w:pStyle w:val="ConsPlusNormal"/>
        <w:jc w:val="right"/>
      </w:pPr>
      <w:r>
        <w:t>к программе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Title"/>
        <w:jc w:val="center"/>
      </w:pPr>
      <w:bookmarkStart w:id="1" w:name="P251"/>
      <w:bookmarkEnd w:id="1"/>
      <w:r>
        <w:t>ПЕРЕЧЕНЬ</w:t>
      </w:r>
    </w:p>
    <w:p w:rsidR="00FE4F56" w:rsidRDefault="00FE4F56">
      <w:pPr>
        <w:pStyle w:val="ConsPlusTitle"/>
        <w:jc w:val="center"/>
      </w:pPr>
      <w:r>
        <w:t>МЕРОПРИЯТИЙ ПРОГРАММЫ</w:t>
      </w:r>
    </w:p>
    <w:p w:rsidR="00FE4F56" w:rsidRDefault="00FE4F56">
      <w:pPr>
        <w:pStyle w:val="ConsPlusNormal"/>
        <w:spacing w:after="1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sectPr w:rsidR="00FE4F56" w:rsidSect="00C26B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37"/>
        <w:gridCol w:w="567"/>
        <w:gridCol w:w="3572"/>
        <w:gridCol w:w="1247"/>
        <w:gridCol w:w="964"/>
        <w:gridCol w:w="3045"/>
        <w:gridCol w:w="2899"/>
      </w:tblGrid>
      <w:tr w:rsidR="00FE4F56">
        <w:tc>
          <w:tcPr>
            <w:tcW w:w="567" w:type="dxa"/>
            <w:vMerge w:val="restart"/>
          </w:tcPr>
          <w:p w:rsidR="00FE4F56" w:rsidRDefault="00FE4F56">
            <w:pPr>
              <w:pStyle w:val="ConsPlusNormal"/>
              <w:jc w:val="center"/>
            </w:pPr>
            <w:r>
              <w:lastRenderedPageBreak/>
              <w:t>N</w:t>
            </w:r>
          </w:p>
          <w:p w:rsidR="00FE4F56" w:rsidRDefault="00FE4F5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04" w:type="dxa"/>
            <w:gridSpan w:val="2"/>
          </w:tcPr>
          <w:p w:rsidR="00FE4F56" w:rsidRDefault="00FE4F56">
            <w:pPr>
              <w:pStyle w:val="ConsPlusNormal"/>
              <w:jc w:val="center"/>
            </w:pPr>
            <w:r>
              <w:t>КАПК</w:t>
            </w:r>
          </w:p>
        </w:tc>
        <w:tc>
          <w:tcPr>
            <w:tcW w:w="3572" w:type="dxa"/>
            <w:vMerge w:val="restart"/>
          </w:tcPr>
          <w:p w:rsidR="00FE4F56" w:rsidRDefault="00FE4F5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  <w:vMerge w:val="restart"/>
          </w:tcPr>
          <w:p w:rsidR="00FE4F56" w:rsidRDefault="00FE4F5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964" w:type="dxa"/>
            <w:vMerge w:val="restart"/>
          </w:tcPr>
          <w:p w:rsidR="00FE4F56" w:rsidRDefault="00FE4F56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045" w:type="dxa"/>
            <w:vMerge w:val="restart"/>
          </w:tcPr>
          <w:p w:rsidR="00FE4F56" w:rsidRDefault="00FE4F56">
            <w:pPr>
              <w:pStyle w:val="ConsPlusNormal"/>
              <w:jc w:val="center"/>
            </w:pPr>
            <w:r>
              <w:t>Ожидаемый непосредственный результат, контрольное событие</w:t>
            </w:r>
          </w:p>
        </w:tc>
        <w:tc>
          <w:tcPr>
            <w:tcW w:w="2899" w:type="dxa"/>
            <w:vMerge w:val="restart"/>
          </w:tcPr>
          <w:p w:rsidR="00FE4F56" w:rsidRDefault="00FE4F56">
            <w:pPr>
              <w:pStyle w:val="ConsPlusNormal"/>
              <w:jc w:val="center"/>
            </w:pPr>
            <w:r>
              <w:t>Взаимосвязь с целевыми показателями (индикаторами)</w:t>
            </w:r>
          </w:p>
        </w:tc>
      </w:tr>
      <w:tr w:rsidR="00FE4F56">
        <w:tc>
          <w:tcPr>
            <w:tcW w:w="567" w:type="dxa"/>
            <w:vMerge/>
          </w:tcPr>
          <w:p w:rsidR="00FE4F56" w:rsidRDefault="00FE4F56">
            <w:pPr>
              <w:pStyle w:val="ConsPlusNormal"/>
            </w:pPr>
          </w:p>
        </w:tc>
        <w:tc>
          <w:tcPr>
            <w:tcW w:w="737" w:type="dxa"/>
          </w:tcPr>
          <w:p w:rsidR="00FE4F56" w:rsidRDefault="00FE4F56">
            <w:pPr>
              <w:pStyle w:val="ConsPlusNormal"/>
              <w:jc w:val="center"/>
            </w:pPr>
            <w:proofErr w:type="spellStart"/>
            <w:r>
              <w:t>Зд</w:t>
            </w:r>
            <w:proofErr w:type="spellEnd"/>
          </w:p>
        </w:tc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572" w:type="dxa"/>
            <w:vMerge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  <w:vMerge/>
          </w:tcPr>
          <w:p w:rsidR="00FE4F56" w:rsidRDefault="00FE4F56">
            <w:pPr>
              <w:pStyle w:val="ConsPlusNormal"/>
            </w:pPr>
          </w:p>
        </w:tc>
        <w:tc>
          <w:tcPr>
            <w:tcW w:w="964" w:type="dxa"/>
            <w:vMerge/>
          </w:tcPr>
          <w:p w:rsidR="00FE4F56" w:rsidRDefault="00FE4F56">
            <w:pPr>
              <w:pStyle w:val="ConsPlusNormal"/>
            </w:pPr>
          </w:p>
        </w:tc>
        <w:tc>
          <w:tcPr>
            <w:tcW w:w="3045" w:type="dxa"/>
            <w:vMerge/>
          </w:tcPr>
          <w:p w:rsidR="00FE4F56" w:rsidRDefault="00FE4F56">
            <w:pPr>
              <w:pStyle w:val="ConsPlusNormal"/>
            </w:pPr>
          </w:p>
        </w:tc>
        <w:tc>
          <w:tcPr>
            <w:tcW w:w="2899" w:type="dxa"/>
            <w:vMerge/>
          </w:tcPr>
          <w:p w:rsidR="00FE4F56" w:rsidRDefault="00FE4F56">
            <w:pPr>
              <w:pStyle w:val="ConsPlusNormal"/>
            </w:pPr>
          </w:p>
        </w:tc>
      </w:tr>
      <w:tr w:rsidR="00FE4F56">
        <w:tc>
          <w:tcPr>
            <w:tcW w:w="13598" w:type="dxa"/>
            <w:gridSpan w:val="8"/>
          </w:tcPr>
          <w:p w:rsidR="00FE4F56" w:rsidRDefault="00FE4F56">
            <w:pPr>
              <w:pStyle w:val="ConsPlusNormal"/>
              <w:outlineLvl w:val="2"/>
            </w:pPr>
            <w:r>
              <w:t>Задача 1. Обеспечение предоставления муниципальной услуги по реализации дополнительных общеобразовательных программ в учреждениях дополнительного образования в сфере культуры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Обеспечение организации образовательного процесса в школах искусств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Обеспечение среднегодового количества человеко-часов нахождения учащихся в школах искусств - не менее 500000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час</w:t>
            </w:r>
            <w:proofErr w:type="spellEnd"/>
            <w:r>
              <w:t>.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целевых показателей (индикаторов) </w:t>
            </w:r>
            <w:hyperlink w:anchor="P1102">
              <w:r>
                <w:rPr>
                  <w:color w:val="0000FF"/>
                </w:rPr>
                <w:t>N 1</w:t>
              </w:r>
            </w:hyperlink>
            <w:r>
              <w:t xml:space="preserve">, </w:t>
            </w:r>
            <w:hyperlink w:anchor="P111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12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129">
              <w:r>
                <w:rPr>
                  <w:color w:val="0000FF"/>
                </w:rPr>
                <w:t>4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Обеспечение организации образовательного процесса в школе хореографии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Обеспечение среднегодового количества человеко-часов нахождения учащихся в школе хореографии - не менее 102200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час</w:t>
            </w:r>
            <w:proofErr w:type="spellEnd"/>
            <w:r>
              <w:t>.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целевых показателей (индикаторов) </w:t>
            </w:r>
            <w:hyperlink w:anchor="P1102">
              <w:r>
                <w:rPr>
                  <w:color w:val="0000FF"/>
                </w:rPr>
                <w:t>N 1</w:t>
              </w:r>
            </w:hyperlink>
            <w:r>
              <w:t xml:space="preserve">, </w:t>
            </w:r>
            <w:hyperlink w:anchor="P111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12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129">
              <w:r>
                <w:rPr>
                  <w:color w:val="0000FF"/>
                </w:rPr>
                <w:t>4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Обеспечение организации образовательного процесса в детской художественной школе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Обеспечение среднегодового количества человеко-часов нахождения учащихся в школе - не менее 167100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час</w:t>
            </w:r>
            <w:proofErr w:type="spellEnd"/>
            <w:r>
              <w:t>.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целевых показателей (индикаторов) </w:t>
            </w:r>
            <w:hyperlink w:anchor="P1102">
              <w:r>
                <w:rPr>
                  <w:color w:val="0000FF"/>
                </w:rPr>
                <w:t>N 1</w:t>
              </w:r>
            </w:hyperlink>
            <w:r>
              <w:t xml:space="preserve">, </w:t>
            </w:r>
            <w:hyperlink w:anchor="P111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12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129">
              <w:r>
                <w:rPr>
                  <w:color w:val="0000FF"/>
                </w:rPr>
                <w:t>4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Обеспечение организации образовательного процесса в детской музыкальной школе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Обеспечение среднегодового количества человеко-часов нахождения учащихся в школе - не менее 147600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час</w:t>
            </w:r>
            <w:proofErr w:type="spellEnd"/>
            <w:r>
              <w:t>.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целевых показателей (индикаторов) </w:t>
            </w:r>
            <w:hyperlink w:anchor="P1102">
              <w:r>
                <w:rPr>
                  <w:color w:val="0000FF"/>
                </w:rPr>
                <w:t>N 1</w:t>
              </w:r>
            </w:hyperlink>
            <w:r>
              <w:t xml:space="preserve">, </w:t>
            </w:r>
            <w:hyperlink w:anchor="P111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12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129">
              <w:r>
                <w:rPr>
                  <w:color w:val="0000FF"/>
                </w:rPr>
                <w:t>4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Реализация </w:t>
            </w:r>
            <w:hyperlink r:id="rId35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07.05.2012 N 597 "О мероприятиях </w:t>
            </w:r>
            <w:r>
              <w:lastRenderedPageBreak/>
              <w:t xml:space="preserve">по реализации государственной социальной политики" и </w:t>
            </w:r>
            <w:hyperlink r:id="rId36">
              <w:r>
                <w:rPr>
                  <w:color w:val="0000FF"/>
                </w:rPr>
                <w:t>поручения</w:t>
              </w:r>
            </w:hyperlink>
            <w:r>
              <w:t xml:space="preserve"> Президента Российской Федерации от 26.02.2019 N Пр-294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lastRenderedPageBreak/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Доведение средней заработной платы педагогических работников в </w:t>
            </w:r>
            <w:r>
              <w:lastRenderedPageBreak/>
              <w:t>сфере культуры до средней заработной платы учителей во Владимирской области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lastRenderedPageBreak/>
              <w:t xml:space="preserve">Обеспечивает выполнение целевых показателей (индикаторов) </w:t>
            </w:r>
            <w:hyperlink w:anchor="P1102">
              <w:r>
                <w:rPr>
                  <w:color w:val="0000FF"/>
                </w:rPr>
                <w:t>N 1</w:t>
              </w:r>
            </w:hyperlink>
            <w:r>
              <w:t xml:space="preserve">, </w:t>
            </w:r>
            <w:hyperlink w:anchor="P111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12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129">
              <w:r>
                <w:rPr>
                  <w:color w:val="0000FF"/>
                </w:rPr>
                <w:t>4</w:t>
              </w:r>
            </w:hyperlink>
            <w:r>
              <w:t xml:space="preserve"> </w:t>
            </w:r>
            <w:r>
              <w:lastRenderedPageBreak/>
              <w:t>приложения N 4 к программе</w:t>
            </w:r>
          </w:p>
        </w:tc>
      </w:tr>
      <w:tr w:rsidR="00FE4F56">
        <w:tc>
          <w:tcPr>
            <w:tcW w:w="13598" w:type="dxa"/>
            <w:gridSpan w:val="8"/>
          </w:tcPr>
          <w:p w:rsidR="00FE4F56" w:rsidRDefault="00FE4F56">
            <w:pPr>
              <w:pStyle w:val="ConsPlusNormal"/>
              <w:outlineLvl w:val="2"/>
            </w:pPr>
            <w:r>
              <w:lastRenderedPageBreak/>
              <w:t>Задача 2. Повышение качества предоставления муниципальной услуги по реализации дополнительных общеобразовательных программ в учреждениях дополнительного образования в сфере культуры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Текущий ремонт зданий учреждений дополнительного образования детей в сфере культуры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В соответствии с утвержденными планами финансово-хозяйственной деятельности учреждений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целевых показателей (индикаторов) </w:t>
            </w:r>
            <w:hyperlink w:anchor="P1148">
              <w:r>
                <w:rPr>
                  <w:color w:val="0000FF"/>
                </w:rPr>
                <w:t>N 6</w:t>
              </w:r>
            </w:hyperlink>
            <w:r>
              <w:t xml:space="preserve">, </w:t>
            </w:r>
            <w:hyperlink w:anchor="P1157">
              <w:r>
                <w:rPr>
                  <w:color w:val="0000FF"/>
                </w:rPr>
                <w:t>7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Приобретение музыкальных инструментов, аппаратуры, оборудования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В соответствии с утвержденными планами финансово-хозяйственной деятельности учреждений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целевого показателя (индикатора) </w:t>
            </w:r>
            <w:hyperlink w:anchor="P1157">
              <w:r>
                <w:rPr>
                  <w:color w:val="0000FF"/>
                </w:rPr>
                <w:t>N 7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Обучение преподавателей на курсах повышения квалификации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Не менее 10 человек в год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целевых показателей (индикаторов) </w:t>
            </w:r>
            <w:hyperlink w:anchor="P1139">
              <w:r>
                <w:rPr>
                  <w:color w:val="0000FF"/>
                </w:rPr>
                <w:t>N 5</w:t>
              </w:r>
            </w:hyperlink>
            <w:r>
              <w:t xml:space="preserve">, </w:t>
            </w:r>
            <w:hyperlink w:anchor="P1157">
              <w:r>
                <w:rPr>
                  <w:color w:val="0000FF"/>
                </w:rPr>
                <w:t>7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Проведение мастер-классов и семинаров на базе школ искусств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Не менее 3 мероприятий ежегодно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целевого показателя (индикатора) </w:t>
            </w:r>
            <w:hyperlink w:anchor="P1139">
              <w:r>
                <w:rPr>
                  <w:color w:val="0000FF"/>
                </w:rPr>
                <w:t>N 5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Разработка авторских, экспериментальных и комплексных образовательных программ по </w:t>
            </w:r>
            <w:r>
              <w:lastRenderedPageBreak/>
              <w:t>видам искусств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lastRenderedPageBreak/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Внедрение не менее 2 программ ежегодно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целевого показателя (индикатора) </w:t>
            </w:r>
            <w:hyperlink w:anchor="P1139">
              <w:r>
                <w:rPr>
                  <w:color w:val="0000FF"/>
                </w:rPr>
                <w:t>N 5</w:t>
              </w:r>
            </w:hyperlink>
            <w:r>
              <w:t xml:space="preserve"> </w:t>
            </w:r>
            <w:r>
              <w:lastRenderedPageBreak/>
              <w:t>приложения N 4 к программе</w:t>
            </w:r>
          </w:p>
        </w:tc>
      </w:tr>
      <w:tr w:rsidR="00FE4F56">
        <w:tc>
          <w:tcPr>
            <w:tcW w:w="13598" w:type="dxa"/>
            <w:gridSpan w:val="8"/>
          </w:tcPr>
          <w:p w:rsidR="00FE4F56" w:rsidRDefault="00FE4F56">
            <w:pPr>
              <w:pStyle w:val="ConsPlusNormal"/>
              <w:outlineLvl w:val="2"/>
            </w:pPr>
            <w:r>
              <w:lastRenderedPageBreak/>
              <w:t>Задача 3. Повышение эффективности предоставления муниципальной услуги по реализации дополнительных общеобразовательных программ в учреждениях дополнительного образования в сфере культуры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Организация участия творческих коллективов, ансамблей, солистов в региональных, всероссийских и международных конкурсах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Получение призовых мест не менее 1000 ед. ежегодно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целевых показателей (индикаторов) </w:t>
            </w:r>
            <w:hyperlink w:anchor="P1167">
              <w:r>
                <w:rPr>
                  <w:color w:val="0000FF"/>
                </w:rPr>
                <w:t>N 8</w:t>
              </w:r>
            </w:hyperlink>
            <w:r>
              <w:t xml:space="preserve">, </w:t>
            </w:r>
            <w:hyperlink w:anchor="P1176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185">
              <w:r>
                <w:rPr>
                  <w:color w:val="0000FF"/>
                </w:rPr>
                <w:t>10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Сохранение и продолжение активной концертной и выставочной деятельности, участие в социально значимых мероприятиях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Проведение отчетных концертов школ, участие в социально значимых мероприятиях - не менее 10 ед. ежегодно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целевых показателей (индикаторов) </w:t>
            </w:r>
            <w:hyperlink w:anchor="P1167">
              <w:r>
                <w:rPr>
                  <w:color w:val="0000FF"/>
                </w:rPr>
                <w:t>N 8</w:t>
              </w:r>
            </w:hyperlink>
            <w:r>
              <w:t xml:space="preserve">, </w:t>
            </w:r>
            <w:hyperlink w:anchor="P1176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185">
              <w:r>
                <w:rPr>
                  <w:color w:val="0000FF"/>
                </w:rPr>
                <w:t>10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Организация и проведение конкурсов на базе школ искусств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Проведение на базе школ не менее 3 конкурсов ежегодно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целевого показателя (индикатора) </w:t>
            </w:r>
            <w:hyperlink w:anchor="P1176">
              <w:r>
                <w:rPr>
                  <w:color w:val="0000FF"/>
                </w:rPr>
                <w:t>N 9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Распространение и разработка новых информационных технологий:</w:t>
            </w:r>
          </w:p>
          <w:p w:rsidR="00FE4F56" w:rsidRDefault="00FE4F56">
            <w:pPr>
              <w:pStyle w:val="ConsPlusNormal"/>
            </w:pPr>
            <w:r>
              <w:t>- наполнение и совершенствование сайтов учреждений;</w:t>
            </w:r>
          </w:p>
          <w:p w:rsidR="00FE4F56" w:rsidRDefault="00FE4F56">
            <w:pPr>
              <w:pStyle w:val="ConsPlusNormal"/>
            </w:pPr>
            <w:r>
              <w:t>- создание базы данных преподавателей, учащихся, выпускников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Своевременное обновление сайтов учреждений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целевых показателей (индикаторов) </w:t>
            </w:r>
            <w:hyperlink w:anchor="P1167">
              <w:r>
                <w:rPr>
                  <w:color w:val="0000FF"/>
                </w:rPr>
                <w:t>N 8</w:t>
              </w:r>
            </w:hyperlink>
            <w:r>
              <w:t xml:space="preserve">, </w:t>
            </w:r>
            <w:hyperlink w:anchor="P1176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185">
              <w:r>
                <w:rPr>
                  <w:color w:val="0000FF"/>
                </w:rPr>
                <w:t>10</w:t>
              </w:r>
            </w:hyperlink>
            <w:r>
              <w:t xml:space="preserve"> приложения N 4 к программе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13598" w:type="dxa"/>
            <w:gridSpan w:val="8"/>
            <w:tcBorders>
              <w:bottom w:val="nil"/>
            </w:tcBorders>
          </w:tcPr>
          <w:p w:rsidR="00FE4F56" w:rsidRDefault="00FE4F56">
            <w:pPr>
              <w:pStyle w:val="ConsPlusNormal"/>
              <w:outlineLvl w:val="2"/>
            </w:pPr>
            <w:r>
              <w:t>Задача 4. (А</w:t>
            </w:r>
            <w:proofErr w:type="gramStart"/>
            <w:r>
              <w:t>1</w:t>
            </w:r>
            <w:proofErr w:type="gramEnd"/>
            <w:r>
              <w:t>) Реализация регионального проекта "Культурная среда", обеспечивающего достижение целей, показателей и результатов федерального проекта "Культурная среда", входящего в состав национального проекта "Культура"</w:t>
            </w:r>
          </w:p>
        </w:tc>
      </w:tr>
      <w:tr w:rsidR="00FE4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73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04 (А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567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572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Приобретение музыкальных инструментов, оборудования и учебных материалов для детских школ искусств по видам искусств</w:t>
            </w:r>
          </w:p>
        </w:tc>
        <w:tc>
          <w:tcPr>
            <w:tcW w:w="1247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964" w:type="dxa"/>
            <w:tcBorders>
              <w:bottom w:val="nil"/>
            </w:tcBorders>
          </w:tcPr>
          <w:p w:rsidR="00FE4F56" w:rsidRDefault="00FE4F56">
            <w:pPr>
              <w:pStyle w:val="ConsPlusNormal"/>
              <w:jc w:val="center"/>
            </w:pPr>
            <w:r>
              <w:t>2021,</w:t>
            </w:r>
          </w:p>
          <w:p w:rsidR="00FE4F56" w:rsidRDefault="00FE4F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045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>Оснащение музыкальными инструментами, оборудованием и учебными материалами в 2021 году двух учреждений дополнительного образования в сфере культуры и в 2023 году одного учреждения дополнительного образования в сфере культуры</w:t>
            </w:r>
          </w:p>
        </w:tc>
        <w:tc>
          <w:tcPr>
            <w:tcW w:w="2899" w:type="dxa"/>
            <w:tcBorders>
              <w:bottom w:val="nil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целевого показателя (индикатора) </w:t>
            </w:r>
            <w:hyperlink w:anchor="P1204">
              <w:r>
                <w:rPr>
                  <w:color w:val="0000FF"/>
                </w:rPr>
                <w:t>N 12</w:t>
              </w:r>
            </w:hyperlink>
            <w:r>
              <w:t xml:space="preserve"> приложения N 4 к программе</w:t>
            </w:r>
          </w:p>
        </w:tc>
      </w:tr>
      <w:tr w:rsidR="00FE4F56" w:rsidTr="00A61099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FE4F56" w:rsidRDefault="00FE4F5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FE4F56" w:rsidRDefault="00FE4F56">
            <w:pPr>
              <w:pStyle w:val="ConsPlusNormal"/>
              <w:jc w:val="center"/>
            </w:pPr>
            <w:r>
              <w:t>04</w:t>
            </w:r>
          </w:p>
          <w:p w:rsidR="00FE4F56" w:rsidRDefault="00FE4F56">
            <w:pPr>
              <w:pStyle w:val="ConsPlusNormal"/>
              <w:jc w:val="center"/>
            </w:pPr>
            <w:r>
              <w:t>(А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56" w:rsidRDefault="00FE4F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FE4F56" w:rsidRDefault="00FE4F56">
            <w:pPr>
              <w:pStyle w:val="ConsPlusNormal"/>
            </w:pPr>
            <w:r>
              <w:t>Проведение реконструкции и (или) капитального ремонта в муниципальных детских школах искусств по видам искусств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FE4F56" w:rsidRDefault="00FE4F56">
            <w:pPr>
              <w:pStyle w:val="ConsPlusNormal"/>
            </w:pPr>
            <w:proofErr w:type="spellStart"/>
            <w:r>
              <w:t>УАиС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E4F56" w:rsidRDefault="00FE4F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FE4F56" w:rsidRDefault="00FE4F56">
            <w:pPr>
              <w:pStyle w:val="ConsPlusNormal"/>
            </w:pPr>
            <w:r>
              <w:t>Проведение капитального ремонта в здании одной детской школы искусств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FE4F56" w:rsidRDefault="00FE4F56">
            <w:pPr>
              <w:pStyle w:val="ConsPlusNormal"/>
            </w:pPr>
            <w:r>
              <w:t xml:space="preserve">Обеспечивает выполнение целевого показателя (индикатора) </w:t>
            </w:r>
            <w:hyperlink w:anchor="P1204">
              <w:r>
                <w:rPr>
                  <w:color w:val="0000FF"/>
                </w:rPr>
                <w:t>N 12</w:t>
              </w:r>
            </w:hyperlink>
            <w:r>
              <w:t xml:space="preserve"> приложения N 4 к программе</w:t>
            </w:r>
          </w:p>
        </w:tc>
      </w:tr>
    </w:tbl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FE4F56" w:rsidRDefault="00FE4F56">
      <w:pPr>
        <w:pStyle w:val="ConsPlusNormal"/>
        <w:jc w:val="right"/>
        <w:outlineLvl w:val="1"/>
      </w:pPr>
      <w:r>
        <w:lastRenderedPageBreak/>
        <w:t>Приложение N 2</w:t>
      </w:r>
    </w:p>
    <w:p w:rsidR="00FE4F56" w:rsidRDefault="00FE4F56">
      <w:pPr>
        <w:pStyle w:val="ConsPlusNormal"/>
        <w:jc w:val="right"/>
      </w:pPr>
      <w:r>
        <w:t>к программе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Title"/>
        <w:jc w:val="center"/>
      </w:pPr>
      <w:bookmarkStart w:id="2" w:name="P428"/>
      <w:bookmarkEnd w:id="2"/>
      <w:r>
        <w:t>РЕСУРСНОЕ ОБЕСПЕЧЕНИЕ</w:t>
      </w:r>
    </w:p>
    <w:p w:rsidR="00FE4F56" w:rsidRDefault="00FE4F56">
      <w:pPr>
        <w:pStyle w:val="ConsPlusTitle"/>
        <w:jc w:val="center"/>
      </w:pPr>
      <w:r>
        <w:t>РЕАЛИЗАЦИИ ПРОГРАММЫ ЗА СЧЕТ БЮДЖЕТНЫХ СРЕДСТВ</w:t>
      </w:r>
    </w:p>
    <w:p w:rsidR="00FE4F56" w:rsidRDefault="00FE4F56">
      <w:pPr>
        <w:pStyle w:val="ConsPlusTitle"/>
        <w:jc w:val="center"/>
      </w:pPr>
      <w:r>
        <w:t>(В РАЗРЕЗЕ ФИНАНСИРУЕМЫХ МЕРОПРИЯТИЙ)</w:t>
      </w:r>
    </w:p>
    <w:p w:rsidR="00FE4F56" w:rsidRDefault="00FE4F56">
      <w:pPr>
        <w:pStyle w:val="ConsPlusNormal"/>
        <w:spacing w:after="1"/>
      </w:pPr>
    </w:p>
    <w:p w:rsidR="00FE4F56" w:rsidRDefault="00FE4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75"/>
        <w:gridCol w:w="510"/>
        <w:gridCol w:w="510"/>
        <w:gridCol w:w="2041"/>
        <w:gridCol w:w="749"/>
        <w:gridCol w:w="628"/>
        <w:gridCol w:w="510"/>
        <w:gridCol w:w="509"/>
        <w:gridCol w:w="1474"/>
        <w:gridCol w:w="624"/>
        <w:gridCol w:w="1247"/>
        <w:gridCol w:w="1152"/>
        <w:gridCol w:w="1138"/>
        <w:gridCol w:w="1108"/>
        <w:gridCol w:w="1122"/>
        <w:gridCol w:w="1191"/>
      </w:tblGrid>
      <w:tr w:rsidR="00FE4F56">
        <w:tc>
          <w:tcPr>
            <w:tcW w:w="567" w:type="dxa"/>
            <w:vMerge w:val="restart"/>
          </w:tcPr>
          <w:p w:rsidR="00FE4F56" w:rsidRDefault="00FE4F56">
            <w:pPr>
              <w:pStyle w:val="ConsPlusNormal"/>
              <w:jc w:val="center"/>
            </w:pPr>
            <w:r>
              <w:t>N</w:t>
            </w:r>
          </w:p>
          <w:p w:rsidR="00FE4F56" w:rsidRDefault="00FE4F5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5" w:type="dxa"/>
            <w:gridSpan w:val="3"/>
          </w:tcPr>
          <w:p w:rsidR="00FE4F56" w:rsidRDefault="00FE4F56">
            <w:pPr>
              <w:pStyle w:val="ConsPlusNormal"/>
              <w:jc w:val="center"/>
            </w:pPr>
            <w:r>
              <w:t>КАПК</w:t>
            </w:r>
          </w:p>
        </w:tc>
        <w:tc>
          <w:tcPr>
            <w:tcW w:w="2041" w:type="dxa"/>
            <w:vMerge w:val="restart"/>
          </w:tcPr>
          <w:p w:rsidR="00FE4F56" w:rsidRDefault="00FE4F56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749" w:type="dxa"/>
            <w:vMerge w:val="restart"/>
          </w:tcPr>
          <w:p w:rsidR="00FE4F56" w:rsidRDefault="00FE4F5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745" w:type="dxa"/>
            <w:gridSpan w:val="5"/>
          </w:tcPr>
          <w:p w:rsidR="00FE4F56" w:rsidRDefault="00FE4F5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958" w:type="dxa"/>
            <w:gridSpan w:val="6"/>
          </w:tcPr>
          <w:p w:rsidR="00FE4F56" w:rsidRDefault="00FE4F56">
            <w:pPr>
              <w:pStyle w:val="ConsPlusNormal"/>
              <w:jc w:val="center"/>
            </w:pPr>
            <w:r>
              <w:t>Расходы бюджета города, тыс. руб.</w:t>
            </w:r>
          </w:p>
        </w:tc>
      </w:tr>
      <w:tr w:rsidR="00FE4F56">
        <w:tc>
          <w:tcPr>
            <w:tcW w:w="567" w:type="dxa"/>
            <w:vMerge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proofErr w:type="spellStart"/>
            <w:r>
              <w:t>Зд</w:t>
            </w:r>
            <w:proofErr w:type="spellEnd"/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2041" w:type="dxa"/>
            <w:vMerge/>
          </w:tcPr>
          <w:p w:rsidR="00FE4F56" w:rsidRDefault="00FE4F56">
            <w:pPr>
              <w:pStyle w:val="ConsPlusNormal"/>
            </w:pPr>
          </w:p>
        </w:tc>
        <w:tc>
          <w:tcPr>
            <w:tcW w:w="749" w:type="dxa"/>
            <w:vMerge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Глава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2026 год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17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Всего по программе, в т.ч.: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182459,14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188859,3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223093,7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264272,1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213162,5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213162,5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бюджет города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139698,44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150357,7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175374,4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172264,0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169708,5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169708,5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32526,9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38501,6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43049,7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47338,3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43454,0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43454,0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федеральный бюджет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10233,8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4669,6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44669,8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 xml:space="preserve">Задача 1. Обеспечение предоставления муниципальной услуги по реализации дополнительных общеобразовательных программ в учреждениях </w:t>
            </w:r>
            <w:r>
              <w:lastRenderedPageBreak/>
              <w:t>дополнительного образования в сфере культуры, в т.ч.: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lastRenderedPageBreak/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169765,74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187659,3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210639,2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213162,5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213162,5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213162,5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бюджет города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92001S0390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4497,7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4851,6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бюджет города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920012П580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91209,94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91734,7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102706,6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110361,5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110361,5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110361,5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бюджет города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920012П590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46918,8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52925,3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60437,4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59347,0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59347,0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59347,0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9200170390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31637,0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38501,6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92001S0390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41090,3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43454,0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43454,0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43454,0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9200172590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1553,3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Обеспечение организации образовательного процесса в школах искусств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94113,26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103355,37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116854,5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114568,6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114568,6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114568,6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Обеспечение организации образовательного процесса в школе хореографии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7742,76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8826,2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10269,5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9801,4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9801,4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9801,4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Обеспечение организации образовательного процесса в детской художественной школе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9048,39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8043,13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9395,5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10879,0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10879,0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10879,0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Обеспечение организации образовательного процесса в детской музыкальной школе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27224,33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28933,0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33029,4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34459,5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34459,5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34459,5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 xml:space="preserve">Реализация </w:t>
            </w:r>
            <w:hyperlink r:id="rId37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07.05.2012 N 597 "О мероприятиях по реализации государственной социальной политики" и поручения Президента Российской Федерации от 27.02.2019 N Пр-294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31637,0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38501,6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41090,3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43454,0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43454,0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43454,0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 xml:space="preserve">Задача 2. Повышение качества предоставления муниципальной услуги по реализации дополнительных общеобразовательных программ в учреждениях дополнительного </w:t>
            </w:r>
            <w:r>
              <w:lastRenderedPageBreak/>
              <w:t>образования в сфере культуры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lastRenderedPageBreak/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791,1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7111,8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бюджет города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920022П590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708,14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7086,8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бюджет города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9200270442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82,96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Текущий ремонт зданий учреждений дополнительного образования в сфере культуры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618,14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7086,8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Приобретение музыкальных инструментов, аппаратуры, оборудования и др.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172,96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04</w:t>
            </w:r>
          </w:p>
          <w:p w:rsidR="00FE4F56" w:rsidRDefault="00FE4F56">
            <w:pPr>
              <w:pStyle w:val="ConsPlusNormal"/>
              <w:jc w:val="center"/>
            </w:pPr>
            <w:r>
              <w:t>(А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Задача 4. (А</w:t>
            </w:r>
            <w:proofErr w:type="gramStart"/>
            <w:r>
              <w:t>1</w:t>
            </w:r>
            <w:proofErr w:type="gramEnd"/>
            <w:r>
              <w:t>). Реализация регионального проекта "Культурная среда", обеспечивающего достижение целей, показателей и результатов федерального проекта "Культурная среда", входящего в состав национального проекта "Культура"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11902,3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5342,7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51109,6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04</w:t>
            </w:r>
          </w:p>
          <w:p w:rsidR="00FE4F56" w:rsidRDefault="00FE4F56">
            <w:pPr>
              <w:pStyle w:val="ConsPlusNormal"/>
              <w:jc w:val="center"/>
            </w:pPr>
            <w:r>
              <w:t>(А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Приобретение музыкальных инструментов, оборудования и материалов для детских школ искусств по видам искусств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11902,3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5342,7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бюджет города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920А155192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778,6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267,0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920А155192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889,9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406,1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федеральный бюджет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r>
              <w:t>УК</w:t>
            </w:r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920А155192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10233,8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4669,6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5" w:type="dxa"/>
          </w:tcPr>
          <w:p w:rsidR="00FE4F56" w:rsidRDefault="00FE4F56">
            <w:pPr>
              <w:pStyle w:val="ConsPlusNormal"/>
              <w:jc w:val="center"/>
            </w:pPr>
            <w:r>
              <w:t>04</w:t>
            </w:r>
          </w:p>
          <w:p w:rsidR="00FE4F56" w:rsidRDefault="00FE4F56">
            <w:pPr>
              <w:pStyle w:val="ConsPlusNormal"/>
              <w:jc w:val="center"/>
            </w:pPr>
            <w:r>
              <w:t>(А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Проведение реконструкции и (или) капитального ремонта в муниципальных детских школах искусств по видам искусств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8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09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47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624" w:type="dxa"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51109,6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бюджет города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proofErr w:type="spellStart"/>
            <w:r>
              <w:t>УАиС</w:t>
            </w:r>
            <w:proofErr w:type="spellEnd"/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920А155197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2555,5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proofErr w:type="spellStart"/>
            <w:r>
              <w:t>УАиС</w:t>
            </w:r>
            <w:proofErr w:type="spellEnd"/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920А155197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3884,3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</w:pPr>
          </w:p>
        </w:tc>
        <w:tc>
          <w:tcPr>
            <w:tcW w:w="775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FE4F56" w:rsidRDefault="00FE4F56">
            <w:pPr>
              <w:pStyle w:val="ConsPlusNormal"/>
            </w:pPr>
            <w:r>
              <w:t>- федеральный бюджет</w:t>
            </w:r>
          </w:p>
        </w:tc>
        <w:tc>
          <w:tcPr>
            <w:tcW w:w="749" w:type="dxa"/>
          </w:tcPr>
          <w:p w:rsidR="00FE4F56" w:rsidRDefault="00FE4F56">
            <w:pPr>
              <w:pStyle w:val="ConsPlusNormal"/>
            </w:pPr>
            <w:proofErr w:type="spellStart"/>
            <w:r>
              <w:t>УАиС</w:t>
            </w:r>
            <w:proofErr w:type="spellEnd"/>
          </w:p>
        </w:tc>
        <w:tc>
          <w:tcPr>
            <w:tcW w:w="628" w:type="dxa"/>
          </w:tcPr>
          <w:p w:rsidR="00FE4F56" w:rsidRDefault="00FE4F56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9" w:type="dxa"/>
          </w:tcPr>
          <w:p w:rsidR="00FE4F56" w:rsidRDefault="00FE4F5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FE4F56" w:rsidRDefault="00FE4F56">
            <w:pPr>
              <w:pStyle w:val="ConsPlusNormal"/>
              <w:jc w:val="center"/>
            </w:pPr>
            <w:r>
              <w:t>920А155197</w:t>
            </w:r>
          </w:p>
        </w:tc>
        <w:tc>
          <w:tcPr>
            <w:tcW w:w="624" w:type="dxa"/>
          </w:tcPr>
          <w:p w:rsidR="00FE4F56" w:rsidRDefault="00FE4F5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8" w:type="dxa"/>
          </w:tcPr>
          <w:p w:rsidR="00FE4F56" w:rsidRDefault="00FE4F56">
            <w:pPr>
              <w:pStyle w:val="ConsPlusNormal"/>
              <w:jc w:val="center"/>
            </w:pPr>
            <w:r>
              <w:t>44669,8</w:t>
            </w:r>
          </w:p>
        </w:tc>
        <w:tc>
          <w:tcPr>
            <w:tcW w:w="1122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-".</w:t>
            </w:r>
          </w:p>
        </w:tc>
      </w:tr>
    </w:tbl>
    <w:p w:rsidR="00FE4F56" w:rsidRDefault="00FE4F56">
      <w:pPr>
        <w:pStyle w:val="ConsPlusNormal"/>
        <w:sectPr w:rsidR="00FE4F5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right"/>
        <w:outlineLvl w:val="1"/>
      </w:pPr>
      <w:r>
        <w:t>Приложение N 3</w:t>
      </w:r>
    </w:p>
    <w:p w:rsidR="00FE4F56" w:rsidRDefault="00FE4F56">
      <w:pPr>
        <w:pStyle w:val="ConsPlusNormal"/>
        <w:jc w:val="right"/>
      </w:pPr>
      <w:r>
        <w:t>к программе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Title"/>
        <w:jc w:val="center"/>
      </w:pPr>
      <w:bookmarkStart w:id="3" w:name="P994"/>
      <w:bookmarkEnd w:id="3"/>
      <w:r>
        <w:t>ПРОГНОЗНАЯ (СПРАВОЧНАЯ) ОЦЕНКА</w:t>
      </w:r>
    </w:p>
    <w:p w:rsidR="00FE4F56" w:rsidRDefault="00FE4F56">
      <w:pPr>
        <w:pStyle w:val="ConsPlusTitle"/>
        <w:jc w:val="center"/>
      </w:pPr>
      <w:r>
        <w:t>РЕСУРСНОГО ОБЕСПЕЧЕНИЯ РЕАЛИЗАЦИИ ПРОГРАММЫ</w:t>
      </w:r>
    </w:p>
    <w:p w:rsidR="00FE4F56" w:rsidRDefault="00FE4F56">
      <w:pPr>
        <w:pStyle w:val="ConsPlusTitle"/>
        <w:jc w:val="center"/>
      </w:pPr>
      <w:r>
        <w:t>ЗА СЧЕТ ВСЕХ ИСТОЧНИКОВ ФИНАНСИРОВАНИЯ</w:t>
      </w:r>
    </w:p>
    <w:p w:rsidR="00FE4F56" w:rsidRDefault="00FE4F56">
      <w:pPr>
        <w:pStyle w:val="ConsPlusNormal"/>
        <w:spacing w:after="1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right"/>
      </w:pPr>
      <w:r>
        <w:t>(тыс. руб.)</w:t>
      </w:r>
    </w:p>
    <w:p w:rsidR="00FE4F56" w:rsidRDefault="00FE4F5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"/>
        <w:gridCol w:w="3798"/>
        <w:gridCol w:w="1417"/>
        <w:gridCol w:w="1247"/>
        <w:gridCol w:w="1191"/>
        <w:gridCol w:w="1215"/>
        <w:gridCol w:w="1247"/>
        <w:gridCol w:w="1134"/>
        <w:gridCol w:w="1247"/>
      </w:tblGrid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3798" w:type="dxa"/>
          </w:tcPr>
          <w:p w:rsidR="00FE4F56" w:rsidRDefault="00FE4F56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17" w:type="dxa"/>
          </w:tcPr>
          <w:p w:rsidR="00FE4F56" w:rsidRDefault="00FE4F5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15" w:type="dxa"/>
          </w:tcPr>
          <w:p w:rsidR="00FE4F56" w:rsidRDefault="00FE4F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FE4F56" w:rsidRDefault="00FE4F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2026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FE4F56" w:rsidRDefault="00FE4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E4F56" w:rsidRDefault="00FE4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E4F56" w:rsidRDefault="00FE4F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E4F56" w:rsidRDefault="00FE4F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10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</w:pPr>
          </w:p>
        </w:tc>
        <w:tc>
          <w:tcPr>
            <w:tcW w:w="3798" w:type="dxa"/>
          </w:tcPr>
          <w:p w:rsidR="00FE4F56" w:rsidRDefault="00FE4F56">
            <w:pPr>
              <w:pStyle w:val="ConsPlusNormal"/>
            </w:pPr>
            <w:r>
              <w:t>Муниципальная программа, всего,</w:t>
            </w:r>
          </w:p>
          <w:p w:rsidR="00FE4F56" w:rsidRDefault="00FE4F56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</w:tcPr>
          <w:p w:rsidR="00FE4F56" w:rsidRDefault="00FE4F56">
            <w:pPr>
              <w:pStyle w:val="ConsPlusNormal"/>
              <w:jc w:val="center"/>
            </w:pPr>
            <w:r>
              <w:t>1553010,34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219959,84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230816,2</w:t>
            </w:r>
          </w:p>
        </w:tc>
        <w:tc>
          <w:tcPr>
            <w:tcW w:w="1215" w:type="dxa"/>
          </w:tcPr>
          <w:p w:rsidR="00FE4F56" w:rsidRDefault="00FE4F56">
            <w:pPr>
              <w:pStyle w:val="ConsPlusNormal"/>
              <w:jc w:val="center"/>
            </w:pPr>
            <w:r>
              <w:t>268970,1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311827,8</w:t>
            </w:r>
          </w:p>
        </w:tc>
        <w:tc>
          <w:tcPr>
            <w:tcW w:w="1134" w:type="dxa"/>
          </w:tcPr>
          <w:p w:rsidR="00FE4F56" w:rsidRDefault="00FE4F56">
            <w:pPr>
              <w:pStyle w:val="ConsPlusNormal"/>
              <w:jc w:val="center"/>
            </w:pPr>
            <w:r>
              <w:t>260718,2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260718,2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FE4F56" w:rsidRDefault="00FE4F56">
            <w:pPr>
              <w:pStyle w:val="ConsPlusNormal"/>
            </w:pPr>
            <w:r>
              <w:t>- средства бюджета города</w:t>
            </w:r>
          </w:p>
        </w:tc>
        <w:tc>
          <w:tcPr>
            <w:tcW w:w="1417" w:type="dxa"/>
          </w:tcPr>
          <w:p w:rsidR="00FE4F56" w:rsidRDefault="00FE4F56">
            <w:pPr>
              <w:pStyle w:val="ConsPlusNormal"/>
              <w:jc w:val="center"/>
            </w:pPr>
            <w:r>
              <w:t>977111,54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139698,44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150357,7</w:t>
            </w:r>
          </w:p>
        </w:tc>
        <w:tc>
          <w:tcPr>
            <w:tcW w:w="1215" w:type="dxa"/>
          </w:tcPr>
          <w:p w:rsidR="00FE4F56" w:rsidRDefault="00FE4F56">
            <w:pPr>
              <w:pStyle w:val="ConsPlusNormal"/>
              <w:jc w:val="center"/>
            </w:pPr>
            <w:r>
              <w:t>175374,4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172264,0</w:t>
            </w:r>
          </w:p>
        </w:tc>
        <w:tc>
          <w:tcPr>
            <w:tcW w:w="1134" w:type="dxa"/>
          </w:tcPr>
          <w:p w:rsidR="00FE4F56" w:rsidRDefault="00FE4F56">
            <w:pPr>
              <w:pStyle w:val="ConsPlusNormal"/>
              <w:jc w:val="center"/>
            </w:pPr>
            <w:r>
              <w:t>169708,5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169708,5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FE4F56" w:rsidRDefault="00FE4F56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417" w:type="dxa"/>
          </w:tcPr>
          <w:p w:rsidR="00FE4F56" w:rsidRDefault="00FE4F56">
            <w:pPr>
              <w:pStyle w:val="ConsPlusNormal"/>
              <w:jc w:val="center"/>
            </w:pPr>
            <w:r>
              <w:t>248324,5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32526,9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38501,6</w:t>
            </w:r>
          </w:p>
        </w:tc>
        <w:tc>
          <w:tcPr>
            <w:tcW w:w="1215" w:type="dxa"/>
          </w:tcPr>
          <w:p w:rsidR="00FE4F56" w:rsidRDefault="00FE4F56">
            <w:pPr>
              <w:pStyle w:val="ConsPlusNormal"/>
              <w:jc w:val="center"/>
            </w:pPr>
            <w:r>
              <w:t>43049,7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47338,3</w:t>
            </w:r>
          </w:p>
        </w:tc>
        <w:tc>
          <w:tcPr>
            <w:tcW w:w="1134" w:type="dxa"/>
          </w:tcPr>
          <w:p w:rsidR="00FE4F56" w:rsidRDefault="00FE4F56">
            <w:pPr>
              <w:pStyle w:val="ConsPlusNormal"/>
              <w:jc w:val="center"/>
            </w:pPr>
            <w:r>
              <w:t>43454,0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43454,0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FE4F56" w:rsidRDefault="00FE4F56">
            <w:pPr>
              <w:pStyle w:val="ConsPlusNormal"/>
            </w:pPr>
            <w:r>
              <w:t>- средства федерального бюджета</w:t>
            </w:r>
          </w:p>
        </w:tc>
        <w:tc>
          <w:tcPr>
            <w:tcW w:w="1417" w:type="dxa"/>
          </w:tcPr>
          <w:p w:rsidR="00FE4F56" w:rsidRDefault="00FE4F56">
            <w:pPr>
              <w:pStyle w:val="ConsPlusNormal"/>
              <w:jc w:val="center"/>
            </w:pPr>
            <w:r>
              <w:t>59573,2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10233,8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FE4F56" w:rsidRDefault="00FE4F56">
            <w:pPr>
              <w:pStyle w:val="ConsPlusNormal"/>
              <w:jc w:val="center"/>
            </w:pPr>
            <w:r>
              <w:t>4669,6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44669,8</w:t>
            </w:r>
          </w:p>
        </w:tc>
        <w:tc>
          <w:tcPr>
            <w:tcW w:w="1134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" w:type="dxa"/>
          </w:tcPr>
          <w:p w:rsidR="00FE4F56" w:rsidRDefault="00FE4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FE4F56" w:rsidRDefault="00FE4F56">
            <w:pPr>
              <w:pStyle w:val="ConsPlusNormal"/>
            </w:pPr>
            <w:r>
              <w:t>- средства из внебюджетных источников</w:t>
            </w:r>
          </w:p>
        </w:tc>
        <w:tc>
          <w:tcPr>
            <w:tcW w:w="1417" w:type="dxa"/>
          </w:tcPr>
          <w:p w:rsidR="00FE4F56" w:rsidRDefault="00FE4F56">
            <w:pPr>
              <w:pStyle w:val="ConsPlusNormal"/>
              <w:jc w:val="center"/>
            </w:pPr>
            <w:r>
              <w:t>268001,1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37500,7</w:t>
            </w:r>
          </w:p>
        </w:tc>
        <w:tc>
          <w:tcPr>
            <w:tcW w:w="1191" w:type="dxa"/>
          </w:tcPr>
          <w:p w:rsidR="00FE4F56" w:rsidRDefault="00FE4F56">
            <w:pPr>
              <w:pStyle w:val="ConsPlusNormal"/>
              <w:jc w:val="center"/>
            </w:pPr>
            <w:r>
              <w:t>41956,9</w:t>
            </w:r>
          </w:p>
        </w:tc>
        <w:tc>
          <w:tcPr>
            <w:tcW w:w="1215" w:type="dxa"/>
          </w:tcPr>
          <w:p w:rsidR="00FE4F56" w:rsidRDefault="00FE4F56">
            <w:pPr>
              <w:pStyle w:val="ConsPlusNormal"/>
              <w:jc w:val="center"/>
            </w:pPr>
            <w:r>
              <w:t>45876,4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47555,7</w:t>
            </w:r>
          </w:p>
        </w:tc>
        <w:tc>
          <w:tcPr>
            <w:tcW w:w="1134" w:type="dxa"/>
          </w:tcPr>
          <w:p w:rsidR="00FE4F56" w:rsidRDefault="00FE4F56">
            <w:pPr>
              <w:pStyle w:val="ConsPlusNormal"/>
              <w:jc w:val="center"/>
            </w:pPr>
            <w:r>
              <w:t>47555,7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47555,7".</w:t>
            </w:r>
          </w:p>
        </w:tc>
      </w:tr>
    </w:tbl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A61099" w:rsidRDefault="00A61099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right"/>
        <w:outlineLvl w:val="1"/>
      </w:pPr>
      <w:r>
        <w:lastRenderedPageBreak/>
        <w:t>Приложение N 4</w:t>
      </w:r>
    </w:p>
    <w:p w:rsidR="00FE4F56" w:rsidRDefault="00FE4F56">
      <w:pPr>
        <w:pStyle w:val="ConsPlusNormal"/>
        <w:jc w:val="right"/>
      </w:pPr>
      <w:r>
        <w:t>к программе</w:t>
      </w: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Title"/>
        <w:jc w:val="center"/>
      </w:pPr>
      <w:bookmarkStart w:id="4" w:name="P1081"/>
      <w:bookmarkEnd w:id="4"/>
      <w:r>
        <w:t>СВЕДЕНИЯ</w:t>
      </w:r>
    </w:p>
    <w:p w:rsidR="00FE4F56" w:rsidRDefault="00FE4F56">
      <w:pPr>
        <w:pStyle w:val="ConsPlusTitle"/>
        <w:jc w:val="center"/>
      </w:pPr>
      <w:r>
        <w:t>О СОСТАВЕ И ЗНАЧЕНИЯХ ЦЕЛЕВЫХ ПОКАЗАТЕЛЕЙ</w:t>
      </w:r>
    </w:p>
    <w:p w:rsidR="00FE4F56" w:rsidRDefault="00FE4F56">
      <w:pPr>
        <w:pStyle w:val="ConsPlusTitle"/>
        <w:jc w:val="center"/>
      </w:pPr>
      <w:r>
        <w:t>(ИНДИКАТОРОВ) ПРОГРАММЫ</w:t>
      </w:r>
    </w:p>
    <w:p w:rsidR="00FE4F56" w:rsidRDefault="00FE4F56">
      <w:pPr>
        <w:pStyle w:val="ConsPlusNormal"/>
        <w:spacing w:after="1"/>
      </w:pPr>
    </w:p>
    <w:p w:rsidR="00FE4F56" w:rsidRDefault="00FE4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1247"/>
        <w:gridCol w:w="1247"/>
        <w:gridCol w:w="1247"/>
        <w:gridCol w:w="1247"/>
        <w:gridCol w:w="1247"/>
        <w:gridCol w:w="1247"/>
        <w:gridCol w:w="1247"/>
      </w:tblGrid>
      <w:tr w:rsidR="00FE4F56">
        <w:tc>
          <w:tcPr>
            <w:tcW w:w="567" w:type="dxa"/>
            <w:vMerge w:val="restart"/>
          </w:tcPr>
          <w:p w:rsidR="00FE4F56" w:rsidRDefault="00FE4F56">
            <w:pPr>
              <w:pStyle w:val="ConsPlusNormal"/>
              <w:jc w:val="center"/>
            </w:pPr>
            <w:r>
              <w:t>N</w:t>
            </w:r>
          </w:p>
          <w:p w:rsidR="00FE4F56" w:rsidRDefault="00FE4F5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  <w:vMerge w:val="restart"/>
          </w:tcPr>
          <w:p w:rsidR="00FE4F56" w:rsidRDefault="00FE4F56">
            <w:pPr>
              <w:pStyle w:val="ConsPlusNormal"/>
              <w:jc w:val="center"/>
            </w:pPr>
            <w:r>
              <w:t>Наименование показателя (индикатора),</w:t>
            </w:r>
          </w:p>
          <w:p w:rsidR="00FE4F56" w:rsidRDefault="00FE4F5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Отчетный (базовый) год</w:t>
            </w:r>
          </w:p>
        </w:tc>
        <w:tc>
          <w:tcPr>
            <w:tcW w:w="7482" w:type="dxa"/>
            <w:gridSpan w:val="6"/>
          </w:tcPr>
          <w:p w:rsidR="00FE4F56" w:rsidRDefault="00FE4F56">
            <w:pPr>
              <w:pStyle w:val="ConsPlusNormal"/>
              <w:jc w:val="center"/>
            </w:pPr>
            <w:r>
              <w:t>Значение показателей (индикаторов) по годам реализации муниципальной программы</w:t>
            </w:r>
          </w:p>
        </w:tc>
      </w:tr>
      <w:tr w:rsidR="00FE4F56">
        <w:tc>
          <w:tcPr>
            <w:tcW w:w="567" w:type="dxa"/>
            <w:vMerge/>
          </w:tcPr>
          <w:p w:rsidR="00FE4F56" w:rsidRDefault="00FE4F56">
            <w:pPr>
              <w:pStyle w:val="ConsPlusNormal"/>
            </w:pPr>
          </w:p>
        </w:tc>
        <w:tc>
          <w:tcPr>
            <w:tcW w:w="4309" w:type="dxa"/>
            <w:vMerge/>
          </w:tcPr>
          <w:p w:rsidR="00FE4F56" w:rsidRDefault="00FE4F56">
            <w:pPr>
              <w:pStyle w:val="ConsPlusNormal"/>
            </w:pP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2026</w:t>
            </w:r>
          </w:p>
        </w:tc>
      </w:tr>
      <w:tr w:rsidR="00FE4F56">
        <w:tc>
          <w:tcPr>
            <w:tcW w:w="13605" w:type="dxa"/>
            <w:gridSpan w:val="9"/>
          </w:tcPr>
          <w:p w:rsidR="00FE4F56" w:rsidRDefault="00FE4F56">
            <w:pPr>
              <w:pStyle w:val="ConsPlusNormal"/>
              <w:outlineLvl w:val="2"/>
            </w:pPr>
            <w:r>
              <w:t>Задача 1. Обеспечение предоставления муниципальной услуги по реализации дополнительных общеобразовательных программ в учреждениях дополнительного образования в сфере культуры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bookmarkStart w:id="5" w:name="P1102"/>
            <w:bookmarkEnd w:id="5"/>
            <w:r>
              <w:t>1.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>Среднегодовое количество учащихся, чел.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4971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4514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4524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4638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Не менее 4300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Не менее 4500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Не менее 4500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bookmarkStart w:id="6" w:name="P1111"/>
            <w:bookmarkEnd w:id="6"/>
            <w:r>
              <w:t>2.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 xml:space="preserve">Объем предоставляемой муниципальной услуги по реализации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программ,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час</w:t>
            </w:r>
            <w:proofErr w:type="spellEnd"/>
            <w:r>
              <w:t>.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236026,0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207758,0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176504,0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152619,0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140238,0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140238,0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140298,0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bookmarkStart w:id="7" w:name="P1120"/>
            <w:bookmarkEnd w:id="7"/>
            <w:r>
              <w:t>3.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 xml:space="preserve">Объем предоставляемой муниципальной услуги по реализации дополнительных общеобразовательных </w:t>
            </w:r>
            <w:proofErr w:type="spellStart"/>
            <w:r>
              <w:t>предпрофессиональных</w:t>
            </w:r>
            <w:proofErr w:type="spellEnd"/>
            <w:r>
              <w:t xml:space="preserve"> программ в области искусств,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час</w:t>
            </w:r>
            <w:proofErr w:type="spellEnd"/>
            <w:r>
              <w:t>.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913461,5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965125,0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984201,5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1036746,0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1055750,5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1055750,5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1055750,5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bookmarkStart w:id="8" w:name="P1129"/>
            <w:bookmarkEnd w:id="8"/>
            <w:r>
              <w:t>4.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>Охват детей, обучающихся в школах искусств, от общего количества учащихся общеобразовательных школ города, %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Не менее 11,3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Не менее 10,5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Не менее 10,5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Не менее 10,5</w:t>
            </w:r>
          </w:p>
        </w:tc>
      </w:tr>
      <w:tr w:rsidR="00FE4F56">
        <w:tc>
          <w:tcPr>
            <w:tcW w:w="13605" w:type="dxa"/>
            <w:gridSpan w:val="9"/>
          </w:tcPr>
          <w:p w:rsidR="00FE4F56" w:rsidRDefault="00FE4F56">
            <w:pPr>
              <w:pStyle w:val="ConsPlusNormal"/>
              <w:outlineLvl w:val="2"/>
            </w:pPr>
            <w:r>
              <w:t xml:space="preserve">Задача 2. Повышение качества предоставления муниципальной услуги по реализации дополнительных общеобразовательных программ в </w:t>
            </w:r>
            <w:r>
              <w:lastRenderedPageBreak/>
              <w:t>учреждениях дополнительного образования в сфере культуры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bookmarkStart w:id="9" w:name="P1139"/>
            <w:bookmarkEnd w:id="9"/>
            <w:r>
              <w:lastRenderedPageBreak/>
              <w:t>5.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>Численность преподавателей, имеющих высшую и первую квалификационную категорию, чел.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227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227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227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227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bookmarkStart w:id="10" w:name="P1148"/>
            <w:bookmarkEnd w:id="10"/>
            <w:r>
              <w:t>6.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0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bookmarkStart w:id="11" w:name="P1157"/>
            <w:bookmarkEnd w:id="11"/>
            <w:r>
              <w:t>7.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>Степень соответствия учреждений, предоставляющих муниципальную услугу, требованиям действующих нормативных правовых актов, %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100</w:t>
            </w:r>
          </w:p>
        </w:tc>
      </w:tr>
      <w:tr w:rsidR="00FE4F56">
        <w:tc>
          <w:tcPr>
            <w:tcW w:w="13605" w:type="dxa"/>
            <w:gridSpan w:val="9"/>
          </w:tcPr>
          <w:p w:rsidR="00FE4F56" w:rsidRDefault="00FE4F56">
            <w:pPr>
              <w:pStyle w:val="ConsPlusNormal"/>
              <w:outlineLvl w:val="2"/>
            </w:pPr>
            <w:r>
              <w:t>Задача 3. Повышение эффективности предоставления муниципальной услуги по реализации дополнительных общеобразовательных программ в учреждениях дополнительного образования в сфере культуры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bookmarkStart w:id="12" w:name="P1167"/>
            <w:bookmarkEnd w:id="12"/>
            <w:r>
              <w:t>8.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>Количество учебных творческих коллективов, ед.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89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85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85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85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bookmarkStart w:id="13" w:name="P1176"/>
            <w:bookmarkEnd w:id="13"/>
            <w:r>
              <w:t>9.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>Количество призовых мест, полученных учащимися и коллективами школ, ед.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1531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1692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Не менее 1500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Не менее 1500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Не менее 1500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bookmarkStart w:id="14" w:name="P1185"/>
            <w:bookmarkEnd w:id="14"/>
            <w:r>
              <w:t>10.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 xml:space="preserve">Доля выпускников школ, поступивших в </w:t>
            </w:r>
            <w:proofErr w:type="spellStart"/>
            <w:r>
              <w:t>ссузы</w:t>
            </w:r>
            <w:proofErr w:type="spellEnd"/>
            <w:r>
              <w:t xml:space="preserve"> и вузы сферы культуры, %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28,9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18,0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18,0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18,0</w:t>
            </w:r>
          </w:p>
        </w:tc>
      </w:tr>
      <w:tr w:rsidR="00FE4F56">
        <w:tc>
          <w:tcPr>
            <w:tcW w:w="13605" w:type="dxa"/>
            <w:gridSpan w:val="9"/>
          </w:tcPr>
          <w:p w:rsidR="00FE4F56" w:rsidRDefault="00FE4F56">
            <w:pPr>
              <w:pStyle w:val="ConsPlusNormal"/>
              <w:outlineLvl w:val="2"/>
            </w:pPr>
            <w:r>
              <w:t>Задача 4 (А</w:t>
            </w:r>
            <w:proofErr w:type="gramStart"/>
            <w:r>
              <w:t>1</w:t>
            </w:r>
            <w:proofErr w:type="gramEnd"/>
            <w:r>
              <w:t>). Реализация регионального проекта "Культурная среда", обеспечивающего достижение целей, показателей и результатов федерального проекта "Культурная среда", входящего в состав национального проекта "Культура"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 xml:space="preserve">Количество учреждений дополнительного образования в сфере культуры города Владимира, оснащенных музыкальными </w:t>
            </w:r>
            <w:r>
              <w:lastRenderedPageBreak/>
              <w:t>инструментами, оборудованием и учебными материалами, ед.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-</w:t>
            </w:r>
          </w:p>
        </w:tc>
      </w:tr>
      <w:tr w:rsidR="00FE4F56">
        <w:tc>
          <w:tcPr>
            <w:tcW w:w="567" w:type="dxa"/>
          </w:tcPr>
          <w:p w:rsidR="00FE4F56" w:rsidRDefault="00FE4F56">
            <w:pPr>
              <w:pStyle w:val="ConsPlusNormal"/>
              <w:jc w:val="center"/>
            </w:pPr>
            <w:bookmarkStart w:id="15" w:name="P1204"/>
            <w:bookmarkEnd w:id="15"/>
            <w:r>
              <w:lastRenderedPageBreak/>
              <w:t>12.</w:t>
            </w:r>
          </w:p>
        </w:tc>
        <w:tc>
          <w:tcPr>
            <w:tcW w:w="4309" w:type="dxa"/>
          </w:tcPr>
          <w:p w:rsidR="00FE4F56" w:rsidRDefault="00FE4F56">
            <w:pPr>
              <w:pStyle w:val="ConsPlusNormal"/>
            </w:pPr>
            <w:r>
              <w:t xml:space="preserve">Количество зданий учреждений дополнительного образования, </w:t>
            </w:r>
            <w:proofErr w:type="spellStart"/>
            <w:r>
              <w:t>отреконструированных</w:t>
            </w:r>
            <w:proofErr w:type="spellEnd"/>
            <w:r>
              <w:t xml:space="preserve"> и (или) капитально отремонтированных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FE4F56" w:rsidRDefault="00FE4F56">
            <w:pPr>
              <w:pStyle w:val="ConsPlusNormal"/>
            </w:pPr>
            <w:r>
              <w:t>-".</w:t>
            </w:r>
          </w:p>
        </w:tc>
      </w:tr>
    </w:tbl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jc w:val="both"/>
      </w:pPr>
    </w:p>
    <w:p w:rsidR="00FE4F56" w:rsidRDefault="00FE4F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AB5" w:rsidRDefault="00130AB5"/>
    <w:sectPr w:rsidR="00130AB5" w:rsidSect="009A7E3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4F56"/>
    <w:rsid w:val="00115D70"/>
    <w:rsid w:val="00130AB5"/>
    <w:rsid w:val="006538DA"/>
    <w:rsid w:val="00A61099"/>
    <w:rsid w:val="00AE1B94"/>
    <w:rsid w:val="00F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F56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4F56"/>
    <w:pPr>
      <w:widowControl w:val="0"/>
      <w:autoSpaceDE w:val="0"/>
      <w:autoSpaceDN w:val="0"/>
      <w:spacing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4F56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4F56"/>
    <w:pPr>
      <w:widowControl w:val="0"/>
      <w:autoSpaceDE w:val="0"/>
      <w:autoSpaceDN w:val="0"/>
      <w:spacing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4F56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4F56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4F56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4F56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104048" TargetMode="External"/><Relationship Id="rId13" Type="http://schemas.openxmlformats.org/officeDocument/2006/relationships/hyperlink" Target="https://login.consultant.ru/link/?req=doc&amp;base=RLAW072&amp;n=116138" TargetMode="External"/><Relationship Id="rId18" Type="http://schemas.openxmlformats.org/officeDocument/2006/relationships/hyperlink" Target="https://login.consultant.ru/link/?req=doc&amp;base=RLAW072&amp;n=128528" TargetMode="External"/><Relationship Id="rId26" Type="http://schemas.openxmlformats.org/officeDocument/2006/relationships/hyperlink" Target="https://login.consultant.ru/link/?req=doc&amp;base=RLAW072&amp;n=144274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2&amp;n=137755" TargetMode="External"/><Relationship Id="rId34" Type="http://schemas.openxmlformats.org/officeDocument/2006/relationships/hyperlink" Target="https://login.consultant.ru/link/?req=doc&amp;base=LAW&amp;n=389458&amp;dst=100103" TargetMode="External"/><Relationship Id="rId7" Type="http://schemas.openxmlformats.org/officeDocument/2006/relationships/hyperlink" Target="https://login.consultant.ru/link/?req=doc&amp;base=RLAW072&amp;n=95405" TargetMode="External"/><Relationship Id="rId12" Type="http://schemas.openxmlformats.org/officeDocument/2006/relationships/hyperlink" Target="https://login.consultant.ru/link/?req=doc&amp;base=RLAW072&amp;n=113685" TargetMode="External"/><Relationship Id="rId17" Type="http://schemas.openxmlformats.org/officeDocument/2006/relationships/hyperlink" Target="https://login.consultant.ru/link/?req=doc&amp;base=RLAW072&amp;n=126727" TargetMode="External"/><Relationship Id="rId25" Type="http://schemas.openxmlformats.org/officeDocument/2006/relationships/hyperlink" Target="https://login.consultant.ru/link/?req=doc&amp;base=RLAW072&amp;n=141856" TargetMode="External"/><Relationship Id="rId33" Type="http://schemas.openxmlformats.org/officeDocument/2006/relationships/hyperlink" Target="https://login.consultant.ru/link/?req=doc&amp;base=LAW&amp;n=470336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2&amp;n=119541" TargetMode="External"/><Relationship Id="rId20" Type="http://schemas.openxmlformats.org/officeDocument/2006/relationships/hyperlink" Target="https://login.consultant.ru/link/?req=doc&amp;base=RLAW072&amp;n=131769" TargetMode="External"/><Relationship Id="rId29" Type="http://schemas.openxmlformats.org/officeDocument/2006/relationships/hyperlink" Target="https://login.consultant.ru/link/?req=doc&amp;base=RLAW072&amp;n=1543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2&amp;n=94244" TargetMode="External"/><Relationship Id="rId11" Type="http://schemas.openxmlformats.org/officeDocument/2006/relationships/hyperlink" Target="https://login.consultant.ru/link/?req=doc&amp;base=RLAW072&amp;n=112684" TargetMode="External"/><Relationship Id="rId24" Type="http://schemas.openxmlformats.org/officeDocument/2006/relationships/hyperlink" Target="https://login.consultant.ru/link/?req=doc&amp;base=RLAW072&amp;n=141573" TargetMode="External"/><Relationship Id="rId32" Type="http://schemas.openxmlformats.org/officeDocument/2006/relationships/hyperlink" Target="https://login.consultant.ru/link/?req=doc&amp;base=LAW&amp;n=358026" TargetMode="External"/><Relationship Id="rId37" Type="http://schemas.openxmlformats.org/officeDocument/2006/relationships/hyperlink" Target="https://login.consultant.ru/link/?req=doc&amp;base=LAW&amp;n=129344" TargetMode="External"/><Relationship Id="rId5" Type="http://schemas.openxmlformats.org/officeDocument/2006/relationships/hyperlink" Target="https://login.consultant.ru/link/?req=doc&amp;base=RLAW072&amp;n=155316" TargetMode="External"/><Relationship Id="rId15" Type="http://schemas.openxmlformats.org/officeDocument/2006/relationships/hyperlink" Target="https://login.consultant.ru/link/?req=doc&amp;base=RLAW072&amp;n=118657" TargetMode="External"/><Relationship Id="rId23" Type="http://schemas.openxmlformats.org/officeDocument/2006/relationships/hyperlink" Target="https://login.consultant.ru/link/?req=doc&amp;base=RLAW072&amp;n=140976" TargetMode="External"/><Relationship Id="rId28" Type="http://schemas.openxmlformats.org/officeDocument/2006/relationships/hyperlink" Target="https://login.consultant.ru/link/?req=doc&amp;base=RLAW072&amp;n=153405" TargetMode="External"/><Relationship Id="rId36" Type="http://schemas.openxmlformats.org/officeDocument/2006/relationships/hyperlink" Target="https://login.consultant.ru/link/?req=doc&amp;base=LAW&amp;n=319109" TargetMode="External"/><Relationship Id="rId10" Type="http://schemas.openxmlformats.org/officeDocument/2006/relationships/hyperlink" Target="https://login.consultant.ru/link/?req=doc&amp;base=RLAW072&amp;n=109786" TargetMode="External"/><Relationship Id="rId19" Type="http://schemas.openxmlformats.org/officeDocument/2006/relationships/hyperlink" Target="https://login.consultant.ru/link/?req=doc&amp;base=RLAW072&amp;n=130005" TargetMode="External"/><Relationship Id="rId31" Type="http://schemas.openxmlformats.org/officeDocument/2006/relationships/hyperlink" Target="https://login.consultant.ru/link/?req=doc&amp;base=RLAW072&amp;n=184107&amp;dst=100006" TargetMode="External"/><Relationship Id="rId4" Type="http://schemas.openxmlformats.org/officeDocument/2006/relationships/hyperlink" Target="https://login.consultant.ru/link/?req=doc&amp;base=LAW&amp;n=469774&amp;dst=2506" TargetMode="External"/><Relationship Id="rId9" Type="http://schemas.openxmlformats.org/officeDocument/2006/relationships/hyperlink" Target="https://login.consultant.ru/link/?req=doc&amp;base=RLAW072&amp;n=106880" TargetMode="External"/><Relationship Id="rId14" Type="http://schemas.openxmlformats.org/officeDocument/2006/relationships/hyperlink" Target="https://login.consultant.ru/link/?req=doc&amp;base=RLAW072&amp;n=116825" TargetMode="External"/><Relationship Id="rId22" Type="http://schemas.openxmlformats.org/officeDocument/2006/relationships/hyperlink" Target="https://login.consultant.ru/link/?req=doc&amp;base=RLAW072&amp;n=139259" TargetMode="External"/><Relationship Id="rId27" Type="http://schemas.openxmlformats.org/officeDocument/2006/relationships/hyperlink" Target="https://login.consultant.ru/link/?req=doc&amp;base=RLAW072&amp;n=152754" TargetMode="External"/><Relationship Id="rId30" Type="http://schemas.openxmlformats.org/officeDocument/2006/relationships/hyperlink" Target="https://login.consultant.ru/link/?req=doc&amp;base=RLAW072&amp;n=155205" TargetMode="External"/><Relationship Id="rId35" Type="http://schemas.openxmlformats.org/officeDocument/2006/relationships/hyperlink" Target="https://login.consultant.ru/link/?req=doc&amp;base=LAW&amp;n=129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5455</Words>
  <Characters>31100</Characters>
  <Application>Microsoft Office Word</Application>
  <DocSecurity>0</DocSecurity>
  <Lines>259</Lines>
  <Paragraphs>72</Paragraphs>
  <ScaleCrop>false</ScaleCrop>
  <Company/>
  <LinksUpToDate>false</LinksUpToDate>
  <CharactersWithSpaces>36483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2024-09-11T08:52:00Z</dcterms:created>
  <dcterms:modified xsi:type="dcterms:W3CDTF">2024-09-11T08:59:00Z</dcterms:modified>
</cp:coreProperties>
</file>